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D4EAD" w:rsidRDefault="002D275B">
      <w:pPr>
        <w:tabs>
          <w:tab w:val="center" w:pos="4536"/>
          <w:tab w:val="right" w:pos="8280"/>
          <w:tab w:val="right" w:pos="9639"/>
        </w:tabs>
        <w:spacing w:before="120" w:after="120"/>
        <w:ind w:right="2"/>
        <w:rPr>
          <w:rFonts w:ascii="Arial" w:hAnsi="Arial" w:cs="Arial"/>
          <w:b/>
          <w:bCs/>
          <w:sz w:val="28"/>
        </w:rPr>
      </w:pPr>
      <w:r>
        <w:rPr>
          <w:rFonts w:ascii="Arial" w:hAnsi="Arial" w:cs="Arial"/>
          <w:b/>
          <w:bCs/>
          <w:sz w:val="28"/>
        </w:rPr>
        <w:t>3GPP TSG RAN WG1 #100bis</w:t>
      </w:r>
      <w:r w:rsidR="00F60A1B">
        <w:rPr>
          <w:rFonts w:ascii="Arial" w:hAnsi="Arial" w:cs="Arial" w:hint="eastAsia"/>
          <w:b/>
          <w:bCs/>
          <w:sz w:val="28"/>
        </w:rPr>
        <w:t>-e</w:t>
      </w:r>
      <w:r>
        <w:rPr>
          <w:rFonts w:ascii="Arial" w:hAnsi="Arial" w:cs="Arial" w:hint="eastAsia"/>
          <w:b/>
          <w:bCs/>
          <w:sz w:val="28"/>
        </w:rPr>
        <w:t xml:space="preserve">  </w:t>
      </w:r>
      <w:r>
        <w:rPr>
          <w:rFonts w:ascii="Arial" w:hAnsi="Arial" w:cs="Arial" w:hint="eastAsia"/>
          <w:b/>
          <w:bCs/>
          <w:sz w:val="28"/>
        </w:rPr>
        <w:tab/>
        <w:t xml:space="preserve">             </w:t>
      </w:r>
      <w:r>
        <w:rPr>
          <w:rFonts w:ascii="Arial" w:hAnsi="Arial" w:cs="Arial"/>
          <w:b/>
          <w:bCs/>
          <w:sz w:val="28"/>
        </w:rPr>
        <w:tab/>
      </w:r>
      <w:r>
        <w:rPr>
          <w:rFonts w:ascii="Arial" w:hAnsi="Arial" w:cs="Arial" w:hint="eastAsia"/>
          <w:b/>
          <w:bCs/>
          <w:sz w:val="28"/>
        </w:rPr>
        <w:t xml:space="preserve">          </w:t>
      </w:r>
      <w:r>
        <w:rPr>
          <w:rFonts w:ascii="Arial" w:hAnsi="Arial" w:cs="Arial"/>
          <w:b/>
          <w:bCs/>
          <w:sz w:val="28"/>
        </w:rPr>
        <w:t>R1-200</w:t>
      </w:r>
      <w:r>
        <w:rPr>
          <w:rFonts w:ascii="Arial" w:hAnsi="Arial" w:cs="Arial" w:hint="eastAsia"/>
          <w:b/>
          <w:bCs/>
          <w:sz w:val="28"/>
        </w:rPr>
        <w:t>1579</w:t>
      </w:r>
    </w:p>
    <w:p w:rsidR="000D4EAD" w:rsidRDefault="002D275B">
      <w:pPr>
        <w:tabs>
          <w:tab w:val="center" w:pos="4536"/>
          <w:tab w:val="right" w:pos="9072"/>
        </w:tabs>
        <w:spacing w:before="120" w:after="120"/>
        <w:rPr>
          <w:rFonts w:ascii="Arial" w:eastAsia="MS Mincho" w:hAnsi="Arial" w:cs="Arial"/>
          <w:b/>
          <w:bCs/>
          <w:sz w:val="28"/>
          <w:lang w:eastAsia="ja-JP"/>
        </w:rPr>
      </w:pPr>
      <w:r>
        <w:rPr>
          <w:rFonts w:ascii="Arial" w:eastAsia="MS Mincho" w:hAnsi="Arial" w:cs="Arial"/>
          <w:b/>
          <w:bCs/>
          <w:sz w:val="28"/>
          <w:lang w:eastAsia="ja-JP"/>
        </w:rPr>
        <w:t>e-Meeting, April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rsidR="000D4EAD" w:rsidRDefault="002D275B" w:rsidP="00CE6DBE">
      <w:pPr>
        <w:tabs>
          <w:tab w:val="left" w:pos="1985"/>
        </w:tabs>
        <w:spacing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Rel-16 5G_V2X_NRSL UE Features</w:t>
      </w:r>
    </w:p>
    <w:p w:rsidR="000D4EAD" w:rsidRDefault="002D275B">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0D4EAD" w:rsidRDefault="002D275B">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7.2.11.4</w:t>
      </w:r>
    </w:p>
    <w:p w:rsidR="000D4EAD" w:rsidRDefault="002D275B">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0D4EAD" w:rsidRDefault="002D275B">
      <w:pPr>
        <w:pStyle w:val="1"/>
        <w:spacing w:before="120" w:after="120"/>
        <w:ind w:left="0"/>
        <w:rPr>
          <w:rFonts w:eastAsia="宋体"/>
        </w:rPr>
      </w:pPr>
      <w:r>
        <w:rPr>
          <w:rFonts w:eastAsia="宋体" w:hint="eastAsia"/>
        </w:rPr>
        <w:t>Introduction</w:t>
      </w:r>
    </w:p>
    <w:p w:rsidR="000D4EAD" w:rsidRDefault="002D275B">
      <w:pPr>
        <w:spacing w:before="120" w:after="120"/>
        <w:rPr>
          <w:sz w:val="20"/>
        </w:rPr>
      </w:pPr>
      <w:r>
        <w:rPr>
          <w:rFonts w:hint="eastAsia"/>
          <w:sz w:val="20"/>
        </w:rPr>
        <w:t xml:space="preserve">At </w:t>
      </w:r>
      <w:r>
        <w:rPr>
          <w:sz w:val="20"/>
          <w:lang w:eastAsia="en-US"/>
        </w:rPr>
        <w:t>RAN1#100-E meeting</w:t>
      </w:r>
      <w:r>
        <w:rPr>
          <w:rFonts w:hint="eastAsia"/>
          <w:sz w:val="20"/>
        </w:rPr>
        <w:t xml:space="preserve">, the email discussion [100e-NR-Rel-16-UEFeatures] was </w:t>
      </w:r>
      <w:r>
        <w:rPr>
          <w:sz w:val="20"/>
          <w:lang w:eastAsia="en-US"/>
        </w:rPr>
        <w:t>assigned</w:t>
      </w:r>
      <w:r>
        <w:rPr>
          <w:rFonts w:hint="eastAsia"/>
          <w:sz w:val="20"/>
        </w:rPr>
        <w:t xml:space="preserve"> to collect companies</w:t>
      </w:r>
      <w:r>
        <w:rPr>
          <w:sz w:val="20"/>
        </w:rPr>
        <w:t>’</w:t>
      </w:r>
      <w:r>
        <w:rPr>
          <w:rFonts w:hint="eastAsia"/>
          <w:sz w:val="20"/>
        </w:rPr>
        <w:t xml:space="preserve"> feedback, and the outcome of 5G_V2X_NRSL UE Features was includes in the table in [1]. </w:t>
      </w:r>
    </w:p>
    <w:p w:rsidR="000D4EAD" w:rsidRDefault="002D275B">
      <w:pPr>
        <w:spacing w:before="120" w:after="120"/>
        <w:rPr>
          <w:sz w:val="20"/>
        </w:rPr>
      </w:pPr>
      <w:r>
        <w:rPr>
          <w:rFonts w:hint="eastAsia"/>
          <w:sz w:val="20"/>
        </w:rPr>
        <w:t>Based on the table, more clarification and improvements from our side are provided in this contribution.</w:t>
      </w:r>
    </w:p>
    <w:p w:rsidR="000D4EAD" w:rsidRDefault="002D275B">
      <w:pPr>
        <w:pStyle w:val="1"/>
        <w:spacing w:before="120" w:after="120"/>
        <w:ind w:left="0"/>
      </w:pPr>
      <w:r>
        <w:rPr>
          <w:rFonts w:hint="eastAsia"/>
        </w:rPr>
        <w:t>Discussion</w:t>
      </w:r>
      <w:r>
        <w:t>s</w:t>
      </w:r>
      <w:r>
        <w:rPr>
          <w:rFonts w:hint="eastAsia"/>
        </w:rPr>
        <w:t xml:space="preserve"> </w:t>
      </w:r>
    </w:p>
    <w:p w:rsidR="000D4EAD" w:rsidRDefault="002D275B">
      <w:pPr>
        <w:pStyle w:val="2"/>
        <w:spacing w:before="120" w:after="120"/>
        <w:ind w:left="0" w:right="210"/>
      </w:pPr>
      <w:r>
        <w:rPr>
          <w:rFonts w:hint="eastAsia"/>
        </w:rPr>
        <w:t>LTE SL capability report</w:t>
      </w:r>
    </w:p>
    <w:p w:rsidR="000D4EAD" w:rsidRDefault="002D275B">
      <w:pPr>
        <w:spacing w:before="120" w:after="120"/>
        <w:rPr>
          <w:sz w:val="20"/>
        </w:rPr>
      </w:pPr>
      <w:r>
        <w:rPr>
          <w:rFonts w:hint="eastAsia"/>
          <w:sz w:val="20"/>
        </w:rPr>
        <w:t>As agreed in Rel-16 NR V2X, LTE V2X mode 3 and mode 4 are supported under NR Uu controlling LTE sidelink. To support these two FGs, as listed in 15-7 and 15-9, gNB needs to know LTE SL capability of a UE, e.g, the capability on receiving/transmitting LTE sidelink SLSS. Regarding the report of LTE SL capability, there may be two ways:</w:t>
      </w:r>
    </w:p>
    <w:p w:rsidR="000D4EAD" w:rsidRDefault="002D275B">
      <w:pPr>
        <w:spacing w:before="120" w:after="120"/>
        <w:rPr>
          <w:sz w:val="20"/>
        </w:rPr>
      </w:pPr>
      <w:r>
        <w:rPr>
          <w:rFonts w:hint="eastAsia"/>
          <w:sz w:val="20"/>
        </w:rPr>
        <w:t>Way 1: Adding LTE SL capability related FGs into NR UE feature list.</w:t>
      </w:r>
    </w:p>
    <w:p w:rsidR="000D4EAD" w:rsidRDefault="002D275B">
      <w:pPr>
        <w:spacing w:before="120" w:after="120"/>
        <w:rPr>
          <w:sz w:val="20"/>
        </w:rPr>
      </w:pPr>
      <w:r>
        <w:rPr>
          <w:rFonts w:hint="eastAsia"/>
          <w:sz w:val="20"/>
        </w:rPr>
        <w:t xml:space="preserve">Way 2: Clarifying LTE SL capability can be acquired by </w:t>
      </w:r>
      <w:r>
        <w:rPr>
          <w:rFonts w:eastAsia="Calibri"/>
          <w:i/>
          <w:sz w:val="20"/>
          <w:lang w:val="en-GB" w:eastAsia="ja-JP"/>
        </w:rPr>
        <w:t>UE-EUTRA-Capability</w:t>
      </w:r>
      <w:r>
        <w:rPr>
          <w:rFonts w:eastAsia="Calibri"/>
          <w:sz w:val="20"/>
          <w:lang w:val="en-GB" w:eastAsia="ja-JP"/>
        </w:rPr>
        <w:t xml:space="preserve"> specified in TS 36.331</w:t>
      </w:r>
      <w:r>
        <w:rPr>
          <w:rFonts w:hint="eastAsia"/>
          <w:sz w:val="20"/>
        </w:rPr>
        <w:t>.</w:t>
      </w:r>
    </w:p>
    <w:p w:rsidR="000D4EAD" w:rsidRDefault="002D275B">
      <w:pPr>
        <w:spacing w:before="120" w:after="120"/>
        <w:rPr>
          <w:sz w:val="20"/>
        </w:rPr>
      </w:pPr>
      <w:r>
        <w:rPr>
          <w:rFonts w:hint="eastAsia"/>
          <w:sz w:val="20"/>
        </w:rPr>
        <w:t xml:space="preserve">Comparing these two ways, Way 2 seems more direct and flexible, given the capabilities defined in TS 36.331 is not required to be redefined in NR UE feature list. We suggest clarifying LTE SL capability can be acquired by Way 2, e.g. in the relevant FGs such as 15-7 and 15-9. The details of signaling are up to RAN2. </w:t>
      </w:r>
    </w:p>
    <w:p w:rsidR="000D4EAD" w:rsidRDefault="002D275B">
      <w:pPr>
        <w:pStyle w:val="YJ-Proposal"/>
        <w:spacing w:before="120" w:after="120"/>
        <w:rPr>
          <w:szCs w:val="22"/>
          <w:lang w:val="en-US" w:eastAsia="zh-CN"/>
        </w:rPr>
      </w:pPr>
      <w:bookmarkStart w:id="0" w:name="_Toc28546"/>
      <w:r>
        <w:rPr>
          <w:rFonts w:hint="eastAsia"/>
          <w:szCs w:val="22"/>
          <w:lang w:val="en-US" w:eastAsia="zh-CN"/>
        </w:rPr>
        <w:t xml:space="preserve">Clarifying LTE SL capability can be acquired by </w:t>
      </w:r>
      <w:r>
        <w:rPr>
          <w:rFonts w:hint="eastAsia"/>
          <w:szCs w:val="22"/>
          <w:lang w:eastAsia="ja-JP"/>
        </w:rPr>
        <w:t>UE-EUTRA-Capability specified in TS 36.331</w:t>
      </w:r>
      <w:r>
        <w:rPr>
          <w:rFonts w:hint="eastAsia"/>
          <w:szCs w:val="22"/>
          <w:lang w:val="en-US" w:eastAsia="zh-CN"/>
        </w:rPr>
        <w:t>.</w:t>
      </w:r>
      <w:bookmarkEnd w:id="0"/>
    </w:p>
    <w:p w:rsidR="000D4EAD" w:rsidRDefault="002D275B">
      <w:pPr>
        <w:pStyle w:val="2"/>
        <w:spacing w:before="120" w:after="120"/>
        <w:ind w:left="0" w:right="210"/>
        <w:rPr>
          <w:szCs w:val="22"/>
        </w:rPr>
      </w:pPr>
      <w:r>
        <w:rPr>
          <w:rFonts w:hint="eastAsia"/>
          <w:szCs w:val="22"/>
        </w:rPr>
        <w:t xml:space="preserve">NR sidelink mode </w:t>
      </w:r>
      <w:r>
        <w:rPr>
          <w:rFonts w:eastAsiaTheme="minorEastAsia" w:hint="eastAsia"/>
          <w:szCs w:val="22"/>
        </w:rPr>
        <w:t>in ITS spectrum</w:t>
      </w:r>
    </w:p>
    <w:p w:rsidR="000D4EAD" w:rsidRDefault="002D275B">
      <w:pPr>
        <w:spacing w:before="120" w:after="120"/>
        <w:rPr>
          <w:sz w:val="20"/>
        </w:rPr>
      </w:pPr>
      <w:r>
        <w:rPr>
          <w:rFonts w:hint="eastAsia"/>
          <w:sz w:val="20"/>
        </w:rPr>
        <w:t xml:space="preserve">On the licensed band </w:t>
      </w:r>
      <w:r>
        <w:rPr>
          <w:sz w:val="20"/>
        </w:rPr>
        <w:t>where gNB is defined</w:t>
      </w:r>
      <w:r>
        <w:rPr>
          <w:rFonts w:hint="eastAsia"/>
          <w:sz w:val="20"/>
        </w:rPr>
        <w:t>, UE can operate in mode 1 or mode 2 subject to gNB control. We agree that t</w:t>
      </w:r>
      <w:r>
        <w:rPr>
          <w:sz w:val="20"/>
        </w:rPr>
        <w:t>ransmitting NR sidelink mode 1 scheduled by NR Uu is the basic FG for sidelink in licensed spectrum where gNB is defined</w:t>
      </w:r>
      <w:r>
        <w:rPr>
          <w:rFonts w:hint="eastAsia"/>
          <w:sz w:val="20"/>
        </w:rPr>
        <w:t xml:space="preserve">, as listed in FG 15-2. In this way, NR SL UE can work properly on the licensed band without supporting mode 2. </w:t>
      </w:r>
    </w:p>
    <w:p w:rsidR="000D4EAD" w:rsidRDefault="002D275B">
      <w:pPr>
        <w:spacing w:before="120" w:after="120"/>
        <w:rPr>
          <w:sz w:val="20"/>
        </w:rPr>
      </w:pPr>
      <w:r>
        <w:rPr>
          <w:rFonts w:hint="eastAsia"/>
          <w:sz w:val="20"/>
        </w:rPr>
        <w:t>Though t</w:t>
      </w:r>
      <w:r>
        <w:rPr>
          <w:sz w:val="20"/>
        </w:rPr>
        <w:t>ransmitting NR sidelink mode 2 configured by NR Uu</w:t>
      </w:r>
      <w:r>
        <w:rPr>
          <w:rFonts w:hint="eastAsia"/>
          <w:sz w:val="20"/>
        </w:rPr>
        <w:t xml:space="preserve">is optional on licensed band, this feature is a basic FG for sidelink in ITS spectrum. We propose to describe FG 15-3 in a similar way as FG 15-2, i.e., FG 15-3 is optional with capability signalling, and for UE supports NR sidelink in </w:t>
      </w:r>
      <w:r>
        <w:rPr>
          <w:sz w:val="20"/>
        </w:rPr>
        <w:t>ITS spectrum where gNB is not defined</w:t>
      </w:r>
      <w:r>
        <w:rPr>
          <w:rFonts w:hint="eastAsia"/>
          <w:sz w:val="20"/>
        </w:rPr>
        <w:t>, UE must indicate this FG is supported. A note for clarification is added per 15-2 descriptions.</w:t>
      </w:r>
    </w:p>
    <w:p w:rsidR="000D4EAD" w:rsidRDefault="002D275B">
      <w:pPr>
        <w:pStyle w:val="YJ-Proposal"/>
        <w:spacing w:before="120" w:after="120"/>
        <w:rPr>
          <w:szCs w:val="22"/>
          <w:lang w:val="en-US" w:eastAsia="zh-CN"/>
        </w:rPr>
      </w:pPr>
      <w:bookmarkStart w:id="1" w:name="_Toc22651"/>
      <w:r>
        <w:rPr>
          <w:rFonts w:hint="eastAsia"/>
          <w:szCs w:val="22"/>
          <w:lang w:val="en-US" w:eastAsia="zh-CN"/>
        </w:rPr>
        <w:t>FG 15-3 is optional with capability signalling, and for UE supports NR sidelink in ITS spectrum where gNB is not defined, UE must indicate this FG is supported.</w:t>
      </w:r>
      <w:bookmarkEnd w:id="1"/>
    </w:p>
    <w:p w:rsidR="000D4EAD" w:rsidRDefault="002D275B">
      <w:pPr>
        <w:pStyle w:val="2"/>
        <w:spacing w:before="120" w:after="120"/>
        <w:ind w:left="0" w:right="210"/>
        <w:rPr>
          <w:szCs w:val="22"/>
        </w:rPr>
      </w:pPr>
      <w:r>
        <w:rPr>
          <w:rFonts w:eastAsia="宋体" w:hint="eastAsia"/>
          <w:szCs w:val="22"/>
        </w:rPr>
        <w:t>S</w:t>
      </w:r>
      <w:r>
        <w:rPr>
          <w:rFonts w:hint="eastAsia"/>
          <w:szCs w:val="22"/>
          <w:lang w:eastAsia="ko-KR"/>
        </w:rPr>
        <w:t>ynchronization source for NR sidelink</w:t>
      </w:r>
    </w:p>
    <w:p w:rsidR="000D4EAD" w:rsidRDefault="002D275B">
      <w:pPr>
        <w:spacing w:before="120" w:after="120"/>
        <w:rPr>
          <w:sz w:val="20"/>
        </w:rPr>
      </w:pPr>
      <w:r>
        <w:rPr>
          <w:rFonts w:hint="eastAsia"/>
          <w:sz w:val="20"/>
        </w:rPr>
        <w:t>As we know, GNSS, gNB, eNB and NR UE are supported as the synchronization source for NR V2X, and the agreement was reached at RAN1 #94bis as below:</w:t>
      </w:r>
    </w:p>
    <w:p w:rsidR="000D4EAD" w:rsidRDefault="002D275B">
      <w:pPr>
        <w:spacing w:before="120" w:after="120"/>
        <w:rPr>
          <w:i/>
          <w:iCs/>
          <w:sz w:val="20"/>
        </w:rPr>
      </w:pPr>
      <w:r>
        <w:rPr>
          <w:i/>
          <w:iCs/>
          <w:sz w:val="20"/>
          <w:highlight w:val="green"/>
        </w:rPr>
        <w:t>Agreements</w:t>
      </w:r>
      <w:r>
        <w:rPr>
          <w:i/>
          <w:iCs/>
          <w:sz w:val="20"/>
        </w:rPr>
        <w:t>:</w:t>
      </w:r>
    </w:p>
    <w:p w:rsidR="000D4EAD" w:rsidRDefault="002D275B">
      <w:pPr>
        <w:pStyle w:val="bullet1"/>
        <w:spacing w:before="120" w:after="120"/>
        <w:rPr>
          <w:i/>
          <w:iCs/>
          <w:sz w:val="20"/>
        </w:rPr>
      </w:pPr>
      <w:r>
        <w:rPr>
          <w:i/>
          <w:iCs/>
          <w:sz w:val="20"/>
        </w:rPr>
        <w:t xml:space="preserve">At least GNSS, gNB, </w:t>
      </w:r>
      <w:r>
        <w:rPr>
          <w:rFonts w:hint="eastAsia"/>
          <w:i/>
          <w:iCs/>
          <w:sz w:val="20"/>
        </w:rPr>
        <w:t xml:space="preserve">NR </w:t>
      </w:r>
      <w:r>
        <w:rPr>
          <w:i/>
          <w:iCs/>
          <w:sz w:val="20"/>
        </w:rPr>
        <w:t>UE</w:t>
      </w:r>
      <w:r>
        <w:rPr>
          <w:rFonts w:eastAsia="DengXian" w:hint="eastAsia"/>
          <w:i/>
          <w:iCs/>
          <w:sz w:val="20"/>
        </w:rPr>
        <w:t xml:space="preserve">, </w:t>
      </w:r>
      <w:r>
        <w:rPr>
          <w:rFonts w:eastAsia="DengXian"/>
          <w:i/>
          <w:iCs/>
          <w:sz w:val="20"/>
        </w:rPr>
        <w:t xml:space="preserve">and </w:t>
      </w:r>
      <w:r>
        <w:rPr>
          <w:rFonts w:eastAsia="DengXian" w:hint="eastAsia"/>
          <w:i/>
          <w:iCs/>
          <w:sz w:val="20"/>
        </w:rPr>
        <w:t>eNB are</w:t>
      </w:r>
      <w:r>
        <w:rPr>
          <w:i/>
          <w:iCs/>
          <w:sz w:val="20"/>
        </w:rPr>
        <w:t xml:space="preserve"> supported </w:t>
      </w:r>
      <w:r>
        <w:rPr>
          <w:rFonts w:hint="eastAsia"/>
          <w:i/>
          <w:iCs/>
          <w:sz w:val="20"/>
        </w:rPr>
        <w:t>as</w:t>
      </w:r>
      <w:r>
        <w:rPr>
          <w:i/>
          <w:iCs/>
          <w:sz w:val="20"/>
        </w:rPr>
        <w:t xml:space="preserve"> the synchronization source</w:t>
      </w:r>
      <w:r>
        <w:rPr>
          <w:rFonts w:hint="eastAsia"/>
          <w:i/>
          <w:iCs/>
          <w:sz w:val="20"/>
        </w:rPr>
        <w:t xml:space="preserve"> for NR V2X.</w:t>
      </w:r>
    </w:p>
    <w:p w:rsidR="000D4EAD" w:rsidRDefault="002D275B">
      <w:pPr>
        <w:pStyle w:val="bullet2"/>
        <w:spacing w:before="120" w:after="120"/>
        <w:rPr>
          <w:i/>
          <w:iCs/>
          <w:sz w:val="20"/>
        </w:rPr>
      </w:pPr>
      <w:r>
        <w:rPr>
          <w:i/>
          <w:iCs/>
          <w:sz w:val="20"/>
        </w:rPr>
        <w:lastRenderedPageBreak/>
        <w:t xml:space="preserve">eNB as </w:t>
      </w:r>
      <w:r>
        <w:rPr>
          <w:rFonts w:hint="eastAsia"/>
          <w:i/>
          <w:iCs/>
          <w:sz w:val="20"/>
        </w:rPr>
        <w:t>a</w:t>
      </w:r>
      <w:r>
        <w:rPr>
          <w:i/>
          <w:iCs/>
          <w:sz w:val="20"/>
        </w:rPr>
        <w:t xml:space="preserve"> synchronization source </w:t>
      </w:r>
      <w:r>
        <w:rPr>
          <w:rFonts w:hint="eastAsia"/>
          <w:i/>
          <w:iCs/>
          <w:sz w:val="20"/>
        </w:rPr>
        <w:t xml:space="preserve">for NR </w:t>
      </w:r>
      <w:r>
        <w:rPr>
          <w:i/>
          <w:iCs/>
          <w:sz w:val="20"/>
        </w:rPr>
        <w:t>V2X UE</w:t>
      </w:r>
      <w:r>
        <w:rPr>
          <w:rFonts w:hint="eastAsia"/>
          <w:i/>
          <w:iCs/>
          <w:sz w:val="20"/>
        </w:rPr>
        <w:t>s supporting LTE Uu/PC5 or Uu only</w:t>
      </w:r>
      <w:r>
        <w:rPr>
          <w:i/>
          <w:iCs/>
          <w:sz w:val="20"/>
        </w:rPr>
        <w:t xml:space="preserve"> </w:t>
      </w:r>
      <w:r>
        <w:rPr>
          <w:rFonts w:hint="eastAsia"/>
          <w:i/>
          <w:iCs/>
          <w:sz w:val="20"/>
        </w:rPr>
        <w:t>(no change to the eNB behaviour)</w:t>
      </w:r>
      <w:r>
        <w:rPr>
          <w:i/>
          <w:iCs/>
          <w:sz w:val="20"/>
        </w:rPr>
        <w:t xml:space="preserve"> </w:t>
      </w:r>
    </w:p>
    <w:p w:rsidR="000D4EAD" w:rsidRDefault="002D275B">
      <w:pPr>
        <w:pStyle w:val="bullet2"/>
        <w:spacing w:before="120" w:after="120"/>
        <w:rPr>
          <w:i/>
          <w:iCs/>
          <w:sz w:val="20"/>
        </w:rPr>
      </w:pPr>
      <w:r>
        <w:rPr>
          <w:rFonts w:hint="eastAsia"/>
          <w:i/>
          <w:iCs/>
          <w:sz w:val="20"/>
        </w:rPr>
        <w:t xml:space="preserve">Whether a source is supported is for </w:t>
      </w:r>
      <w:r>
        <w:rPr>
          <w:i/>
          <w:iCs/>
          <w:sz w:val="20"/>
        </w:rPr>
        <w:t>further</w:t>
      </w:r>
      <w:r>
        <w:rPr>
          <w:rFonts w:hint="eastAsia"/>
          <w:i/>
          <w:iCs/>
          <w:sz w:val="20"/>
        </w:rPr>
        <w:t xml:space="preserve"> </w:t>
      </w:r>
      <w:r>
        <w:rPr>
          <w:rFonts w:eastAsia="DengXian" w:hint="eastAsia"/>
          <w:i/>
          <w:iCs/>
          <w:sz w:val="20"/>
        </w:rPr>
        <w:t xml:space="preserve">NR V2X </w:t>
      </w:r>
      <w:r>
        <w:rPr>
          <w:rFonts w:hint="eastAsia"/>
          <w:i/>
          <w:iCs/>
          <w:sz w:val="20"/>
        </w:rPr>
        <w:t>UE capability consideration</w:t>
      </w:r>
    </w:p>
    <w:p w:rsidR="000D4EAD" w:rsidRDefault="002D275B">
      <w:pPr>
        <w:spacing w:before="120" w:after="120"/>
        <w:rPr>
          <w:sz w:val="20"/>
        </w:rPr>
      </w:pPr>
      <w:r>
        <w:rPr>
          <w:sz w:val="20"/>
        </w:rPr>
        <w:t>Therefore</w:t>
      </w:r>
      <w:r>
        <w:rPr>
          <w:rFonts w:hint="eastAsia"/>
          <w:sz w:val="20"/>
        </w:rPr>
        <w:t xml:space="preserve">, the feature of </w:t>
      </w:r>
      <w:r>
        <w:rPr>
          <w:rFonts w:eastAsia="Malgun Gothic"/>
          <w:sz w:val="20"/>
          <w:lang w:eastAsia="ko-KR"/>
        </w:rPr>
        <w:t>gNB type</w:t>
      </w:r>
      <w:r>
        <w:rPr>
          <w:rFonts w:hint="eastAsia"/>
          <w:sz w:val="20"/>
        </w:rPr>
        <w:t>/eNB type/GNSS</w:t>
      </w:r>
      <w:r>
        <w:rPr>
          <w:rFonts w:eastAsia="Malgun Gothic"/>
          <w:sz w:val="20"/>
          <w:lang w:eastAsia="ko-KR"/>
        </w:rPr>
        <w:t xml:space="preserve"> synchronization source for NR sidelink</w:t>
      </w:r>
      <w:r>
        <w:rPr>
          <w:rFonts w:hint="eastAsia"/>
          <w:sz w:val="20"/>
        </w:rPr>
        <w:t xml:space="preserve"> can be categorized under one FG reference number. An additional FG 15-15b could encompass the components related to GNSS as the synchronization source including the component 3) in FG 15-4. The following proposal is given:</w:t>
      </w:r>
    </w:p>
    <w:p w:rsidR="000D4EAD" w:rsidRDefault="002D275B" w:rsidP="00015AD7">
      <w:pPr>
        <w:pStyle w:val="YJ-Proposal"/>
        <w:spacing w:before="120" w:after="120"/>
        <w:rPr>
          <w:szCs w:val="22"/>
          <w:lang w:val="en-US" w:eastAsia="zh-CN"/>
        </w:rPr>
      </w:pPr>
      <w:bookmarkStart w:id="2" w:name="_Toc13618"/>
      <w:r>
        <w:rPr>
          <w:rFonts w:hint="eastAsia"/>
          <w:szCs w:val="22"/>
          <w:lang w:val="en-US" w:eastAsia="zh-CN"/>
        </w:rPr>
        <w:t>Add GNSS</w:t>
      </w:r>
      <w:r>
        <w:rPr>
          <w:rFonts w:hint="eastAsia"/>
          <w:szCs w:val="22"/>
          <w:lang w:val="en-US" w:eastAsia="ko-KR"/>
        </w:rPr>
        <w:t xml:space="preserve"> synchronization source for NR sidelink</w:t>
      </w:r>
      <w:r>
        <w:rPr>
          <w:rFonts w:hint="eastAsia"/>
          <w:szCs w:val="22"/>
          <w:lang w:val="en-US" w:eastAsia="zh-CN"/>
        </w:rPr>
        <w:t xml:space="preserve"> as FG15-15b.</w:t>
      </w:r>
      <w:bookmarkEnd w:id="2"/>
    </w:p>
    <w:p w:rsidR="000D4EAD" w:rsidRDefault="002D275B" w:rsidP="00015AD7">
      <w:pPr>
        <w:pStyle w:val="sub-proposal"/>
        <w:spacing w:before="120" w:after="120"/>
        <w:ind w:left="822" w:hanging="402"/>
        <w:rPr>
          <w:szCs w:val="22"/>
          <w:lang w:val="en-US" w:eastAsia="zh-CN"/>
        </w:rPr>
      </w:pPr>
      <w:bookmarkStart w:id="3" w:name="_Toc28632"/>
      <w:r>
        <w:rPr>
          <w:rFonts w:hint="eastAsia"/>
          <w:szCs w:val="22"/>
          <w:lang w:val="en-US" w:eastAsia="zh-CN"/>
        </w:rPr>
        <w:t>Relocate the component 3) in FG 15-4 into FG 15-15b</w:t>
      </w:r>
      <w:bookmarkEnd w:id="3"/>
    </w:p>
    <w:p w:rsidR="000D4EAD" w:rsidRDefault="002D275B">
      <w:pPr>
        <w:spacing w:before="120" w:after="120"/>
        <w:rPr>
          <w:sz w:val="20"/>
        </w:rPr>
      </w:pPr>
      <w:r>
        <w:rPr>
          <w:rFonts w:hint="eastAsia"/>
          <w:sz w:val="20"/>
        </w:rPr>
        <w:t xml:space="preserve">Based on the above discussions, we give an exemplary table for </w:t>
      </w:r>
      <w:r>
        <w:rPr>
          <w:sz w:val="20"/>
          <w:lang w:eastAsia="ko-KR"/>
        </w:rPr>
        <w:t>5G_V2X_NRSL</w:t>
      </w:r>
      <w:r>
        <w:rPr>
          <w:rFonts w:hint="eastAsia"/>
          <w:sz w:val="20"/>
        </w:rPr>
        <w:t xml:space="preserve"> in appendix wherethe modifications compared to that in [1] are marked in red.</w:t>
      </w:r>
    </w:p>
    <w:p w:rsidR="000D4EAD" w:rsidRDefault="002D275B">
      <w:pPr>
        <w:pStyle w:val="1"/>
        <w:spacing w:before="120" w:after="120"/>
        <w:ind w:left="0"/>
        <w:rPr>
          <w:rFonts w:eastAsia="宋体"/>
        </w:rPr>
      </w:pPr>
      <w:r>
        <w:rPr>
          <w:rFonts w:eastAsia="宋体" w:hint="eastAsia"/>
        </w:rPr>
        <w:t>Conclusion</w:t>
      </w:r>
    </w:p>
    <w:p w:rsidR="000D4EAD" w:rsidRDefault="002D275B">
      <w:pPr>
        <w:spacing w:before="120" w:after="120"/>
        <w:rPr>
          <w:sz w:val="20"/>
        </w:rPr>
      </w:pPr>
      <w:r>
        <w:rPr>
          <w:rFonts w:hint="eastAsia"/>
          <w:sz w:val="20"/>
        </w:rPr>
        <w:t>Based on the discussion, the following proposals are given:</w:t>
      </w:r>
    </w:p>
    <w:p w:rsidR="000D4EAD" w:rsidRDefault="00401CE0" w:rsidP="00015AD7">
      <w:pPr>
        <w:pStyle w:val="10"/>
        <w:tabs>
          <w:tab w:val="right" w:pos="9660"/>
        </w:tabs>
        <w:spacing w:before="120" w:after="120"/>
      </w:pPr>
      <w:r w:rsidRPr="00401CE0">
        <w:fldChar w:fldCharType="begin"/>
      </w:r>
      <w:r w:rsidR="002D275B">
        <w:instrText>TOC \n  \t "YJ-Proposal,1,sub-proposal,2,3rd level proposal,3" \h</w:instrText>
      </w:r>
      <w:r w:rsidRPr="00401CE0">
        <w:fldChar w:fldCharType="separate"/>
      </w:r>
      <w:hyperlink w:anchor="_Toc28546" w:history="1">
        <w:r w:rsidR="002D275B">
          <w:rPr>
            <w:rFonts w:eastAsia="宋体"/>
            <w:bCs/>
            <w:iCs/>
            <w:szCs w:val="22"/>
          </w:rPr>
          <w:t xml:space="preserve">Proposal 1: </w:t>
        </w:r>
        <w:r w:rsidR="002D275B">
          <w:rPr>
            <w:rFonts w:hint="eastAsia"/>
            <w:szCs w:val="22"/>
          </w:rPr>
          <w:t xml:space="preserve">Clarifying LTE SL capability can be acquired by </w:t>
        </w:r>
        <w:r w:rsidR="002D275B">
          <w:rPr>
            <w:rFonts w:hint="eastAsia"/>
            <w:szCs w:val="22"/>
            <w:lang w:eastAsia="ja-JP"/>
          </w:rPr>
          <w:t>UE-EUTRA-Capability specified in TS 36.331</w:t>
        </w:r>
        <w:r w:rsidR="002D275B">
          <w:rPr>
            <w:rFonts w:hint="eastAsia"/>
            <w:szCs w:val="22"/>
          </w:rPr>
          <w:t>.</w:t>
        </w:r>
      </w:hyperlink>
    </w:p>
    <w:p w:rsidR="000D4EAD" w:rsidRDefault="00401CE0" w:rsidP="00015AD7">
      <w:pPr>
        <w:pStyle w:val="10"/>
        <w:tabs>
          <w:tab w:val="right" w:pos="9660"/>
        </w:tabs>
        <w:spacing w:before="120" w:after="120"/>
      </w:pPr>
      <w:hyperlink w:anchor="_Toc22651" w:history="1">
        <w:r w:rsidR="002D275B">
          <w:rPr>
            <w:rFonts w:eastAsia="宋体"/>
            <w:bCs/>
            <w:iCs/>
            <w:szCs w:val="22"/>
          </w:rPr>
          <w:t xml:space="preserve">Proposal 2: </w:t>
        </w:r>
        <w:r w:rsidR="002D275B">
          <w:rPr>
            <w:rFonts w:hint="eastAsia"/>
            <w:szCs w:val="22"/>
          </w:rPr>
          <w:t>FG 15-3 is optional with capability signalling, and for UE supports NR sidelink in ITS spectrum where gNB is not defined, UE must indicate this FG is supported.</w:t>
        </w:r>
      </w:hyperlink>
    </w:p>
    <w:p w:rsidR="000D4EAD" w:rsidRDefault="00401CE0" w:rsidP="00015AD7">
      <w:pPr>
        <w:pStyle w:val="10"/>
        <w:tabs>
          <w:tab w:val="right" w:pos="9660"/>
        </w:tabs>
        <w:spacing w:before="120" w:after="120"/>
      </w:pPr>
      <w:hyperlink w:anchor="_Toc13618" w:history="1">
        <w:r w:rsidR="002D275B">
          <w:rPr>
            <w:rFonts w:eastAsia="宋体"/>
            <w:bCs/>
            <w:iCs/>
            <w:szCs w:val="22"/>
          </w:rPr>
          <w:t xml:space="preserve">Proposal 3: </w:t>
        </w:r>
        <w:r w:rsidR="002D275B">
          <w:rPr>
            <w:rFonts w:hint="eastAsia"/>
            <w:szCs w:val="22"/>
          </w:rPr>
          <w:t>Add GNSS</w:t>
        </w:r>
        <w:r w:rsidR="002D275B">
          <w:rPr>
            <w:rFonts w:hint="eastAsia"/>
            <w:szCs w:val="22"/>
            <w:lang w:eastAsia="ko-KR"/>
          </w:rPr>
          <w:t xml:space="preserve"> synchronization source for NR sidelink</w:t>
        </w:r>
        <w:r w:rsidR="002D275B">
          <w:rPr>
            <w:rFonts w:hint="eastAsia"/>
            <w:szCs w:val="22"/>
          </w:rPr>
          <w:t xml:space="preserve"> as FG15-15b.</w:t>
        </w:r>
      </w:hyperlink>
    </w:p>
    <w:p w:rsidR="000D4EAD" w:rsidRDefault="00401CE0" w:rsidP="00015AD7">
      <w:pPr>
        <w:pStyle w:val="20"/>
        <w:tabs>
          <w:tab w:val="right" w:pos="9660"/>
        </w:tabs>
        <w:spacing w:before="120" w:after="120"/>
        <w:ind w:left="822" w:hanging="402"/>
      </w:pPr>
      <w:hyperlink w:anchor="_Toc28632" w:history="1">
        <w:r w:rsidR="002D275B">
          <w:rPr>
            <w:rFonts w:ascii="Arial" w:hAnsi="Arial" w:cs="Arial"/>
            <w:szCs w:val="22"/>
          </w:rPr>
          <w:t xml:space="preserve">• </w:t>
        </w:r>
        <w:r w:rsidR="002D275B">
          <w:rPr>
            <w:rFonts w:hint="eastAsia"/>
            <w:szCs w:val="22"/>
          </w:rPr>
          <w:t>Relocate the component 3) in FG 15-4 into FG 15-15b</w:t>
        </w:r>
      </w:hyperlink>
    </w:p>
    <w:p w:rsidR="000D4EAD" w:rsidRDefault="00401CE0">
      <w:pPr>
        <w:spacing w:before="120" w:after="120"/>
      </w:pPr>
      <w:r>
        <w:fldChar w:fldCharType="end"/>
      </w:r>
      <w:bookmarkStart w:id="4" w:name="_GoBack"/>
      <w:bookmarkEnd w:id="4"/>
    </w:p>
    <w:p w:rsidR="000D4EAD" w:rsidRDefault="002D275B">
      <w:pPr>
        <w:pStyle w:val="1"/>
        <w:spacing w:before="120" w:after="120"/>
        <w:ind w:left="0"/>
        <w:rPr>
          <w:rFonts w:eastAsia="宋体"/>
        </w:rPr>
      </w:pPr>
      <w:r>
        <w:rPr>
          <w:rFonts w:eastAsia="宋体" w:hint="eastAsia"/>
        </w:rPr>
        <w:t>Reference</w:t>
      </w:r>
      <w:r>
        <w:rPr>
          <w:rFonts w:eastAsia="宋体"/>
        </w:rPr>
        <w:t>s</w:t>
      </w:r>
    </w:p>
    <w:p w:rsidR="000D4EAD" w:rsidRDefault="00015AD7">
      <w:pPr>
        <w:pStyle w:val="References"/>
        <w:spacing w:before="120" w:after="120"/>
        <w:ind w:left="363" w:hanging="363"/>
        <w:rPr>
          <w:szCs w:val="20"/>
        </w:rPr>
      </w:pPr>
      <w:bookmarkStart w:id="5" w:name="_Ref17466"/>
      <w:r>
        <w:rPr>
          <w:szCs w:val="20"/>
        </w:rPr>
        <w:t>R1-200148</w:t>
      </w:r>
      <w:r>
        <w:rPr>
          <w:rFonts w:hint="eastAsia"/>
          <w:szCs w:val="20"/>
        </w:rPr>
        <w:t>4</w:t>
      </w:r>
      <w:r w:rsidR="002D275B">
        <w:rPr>
          <w:rFonts w:hint="eastAsia"/>
          <w:szCs w:val="20"/>
        </w:rPr>
        <w:t xml:space="preserve">, RAN1 UE features list for Rel-16 NR after RAN1#100-E, </w:t>
      </w:r>
      <w:r w:rsidR="002D275B">
        <w:rPr>
          <w:rFonts w:hint="eastAsia"/>
          <w:szCs w:val="20"/>
          <w:lang w:eastAsia="en-US"/>
        </w:rPr>
        <w:t>AT&amp;T, NTT DOCOMO, INC</w:t>
      </w:r>
      <w:r w:rsidR="002D275B">
        <w:rPr>
          <w:rFonts w:hint="eastAsia"/>
          <w:szCs w:val="20"/>
        </w:rPr>
        <w:t>.</w:t>
      </w:r>
    </w:p>
    <w:bookmarkEnd w:id="5"/>
    <w:p w:rsidR="000D4EAD" w:rsidRDefault="000D4EAD">
      <w:pPr>
        <w:spacing w:before="120" w:after="120"/>
        <w:sectPr w:rsidR="000D4EAD">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pPr>
    </w:p>
    <w:p w:rsidR="000D4EAD" w:rsidRDefault="002D275B">
      <w:pPr>
        <w:pStyle w:val="1"/>
        <w:spacing w:before="120" w:after="120"/>
        <w:ind w:left="0"/>
        <w:rPr>
          <w:rFonts w:eastAsia="宋体"/>
          <w:szCs w:val="22"/>
        </w:rPr>
      </w:pPr>
      <w:r>
        <w:rPr>
          <w:rFonts w:eastAsia="宋体" w:hint="eastAsia"/>
          <w:szCs w:val="22"/>
        </w:rPr>
        <w:lastRenderedPageBreak/>
        <w:t>Appendix</w:t>
      </w:r>
    </w:p>
    <w:p w:rsidR="000D4EAD" w:rsidRDefault="002D275B">
      <w:pPr>
        <w:pStyle w:val="ad"/>
        <w:keepNext/>
        <w:keepLines/>
        <w:tabs>
          <w:tab w:val="left" w:pos="426"/>
        </w:tabs>
        <w:overflowPunct w:val="0"/>
        <w:autoSpaceDE w:val="0"/>
        <w:autoSpaceDN w:val="0"/>
        <w:adjustRightInd w:val="0"/>
        <w:spacing w:after="120"/>
        <w:ind w:left="0"/>
        <w:textAlignment w:val="baseline"/>
        <w:rPr>
          <w:rFonts w:ascii="Arial" w:eastAsia="Batang" w:hAnsi="Arial"/>
          <w:sz w:val="32"/>
          <w:szCs w:val="32"/>
          <w:lang w:eastAsia="ko-KR"/>
        </w:rPr>
      </w:pPr>
      <w:r>
        <w:rPr>
          <w:rFonts w:ascii="Arial" w:eastAsia="宋体" w:hAnsi="Arial" w:hint="eastAsia"/>
          <w:sz w:val="32"/>
          <w:szCs w:val="32"/>
        </w:rPr>
        <w:t xml:space="preserve">8. </w:t>
      </w:r>
      <w:r>
        <w:rPr>
          <w:rFonts w:ascii="Arial" w:eastAsia="Batang" w:hAnsi="Arial"/>
          <w:sz w:val="32"/>
          <w:szCs w:val="32"/>
          <w:lang w:eastAsia="ko-KR"/>
        </w:rPr>
        <w:t>5G_V2X_NRSL</w:t>
      </w:r>
    </w:p>
    <w:tbl>
      <w:tblPr>
        <w:tblW w:w="14124"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550"/>
        <w:gridCol w:w="1067"/>
        <w:gridCol w:w="2430"/>
        <w:gridCol w:w="870"/>
        <w:gridCol w:w="706"/>
        <w:gridCol w:w="727"/>
        <w:gridCol w:w="833"/>
        <w:gridCol w:w="1164"/>
        <w:gridCol w:w="636"/>
        <w:gridCol w:w="600"/>
        <w:gridCol w:w="717"/>
        <w:gridCol w:w="2167"/>
        <w:gridCol w:w="1027"/>
      </w:tblGrid>
      <w:tr w:rsidR="000D4EAD">
        <w:trPr>
          <w:trHeight w:val="20"/>
        </w:trPr>
        <w:tc>
          <w:tcPr>
            <w:tcW w:w="630" w:type="dxa"/>
            <w:tcBorders>
              <w:top w:val="single" w:sz="4" w:space="0" w:color="auto"/>
              <w:left w:val="single" w:sz="4" w:space="0" w:color="auto"/>
              <w:bottom w:val="single" w:sz="4" w:space="0" w:color="auto"/>
              <w:right w:val="single" w:sz="4" w:space="0" w:color="auto"/>
            </w:tcBorders>
          </w:tcPr>
          <w:p w:rsidR="000D4EAD" w:rsidRDefault="002D275B">
            <w:pPr>
              <w:keepNext/>
              <w:keepLines/>
              <w:overflowPunct w:val="0"/>
              <w:autoSpaceDE w:val="0"/>
              <w:autoSpaceDN w:val="0"/>
              <w:adjustRightInd w:val="0"/>
              <w:spacing w:before="120" w:after="120"/>
              <w:jc w:val="center"/>
              <w:textAlignment w:val="baseline"/>
              <w:rPr>
                <w:rFonts w:ascii="Arial" w:eastAsia="Times New Roman" w:hAnsi="Arial"/>
                <w:b/>
                <w:sz w:val="18"/>
                <w:lang w:val="en-GB" w:eastAsia="ja-JP"/>
              </w:rPr>
            </w:pPr>
            <w:r>
              <w:rPr>
                <w:rFonts w:ascii="Arial" w:eastAsia="Times New Roman" w:hAnsi="Arial"/>
                <w:b/>
                <w:sz w:val="18"/>
                <w:lang w:val="en-GB" w:eastAsia="ja-JP"/>
              </w:rPr>
              <w:t>Features</w:t>
            </w:r>
          </w:p>
        </w:tc>
        <w:tc>
          <w:tcPr>
            <w:tcW w:w="550" w:type="dxa"/>
            <w:tcBorders>
              <w:top w:val="single" w:sz="4" w:space="0" w:color="auto"/>
              <w:left w:val="single" w:sz="4" w:space="0" w:color="auto"/>
              <w:bottom w:val="single" w:sz="4" w:space="0" w:color="auto"/>
              <w:right w:val="single" w:sz="4" w:space="0" w:color="auto"/>
            </w:tcBorders>
          </w:tcPr>
          <w:p w:rsidR="000D4EAD" w:rsidRDefault="002D275B">
            <w:pPr>
              <w:keepNext/>
              <w:keepLines/>
              <w:overflowPunct w:val="0"/>
              <w:autoSpaceDE w:val="0"/>
              <w:autoSpaceDN w:val="0"/>
              <w:adjustRightInd w:val="0"/>
              <w:spacing w:before="120" w:after="120"/>
              <w:jc w:val="center"/>
              <w:textAlignment w:val="baseline"/>
              <w:rPr>
                <w:rFonts w:ascii="Arial" w:eastAsia="Times New Roman" w:hAnsi="Arial"/>
                <w:b/>
                <w:sz w:val="18"/>
                <w:lang w:val="en-GB" w:eastAsia="ja-JP"/>
              </w:rPr>
            </w:pPr>
            <w:r>
              <w:rPr>
                <w:rFonts w:ascii="Arial" w:eastAsia="Times New Roman" w:hAnsi="Arial"/>
                <w:b/>
                <w:sz w:val="18"/>
                <w:lang w:val="en-GB" w:eastAsia="ja-JP"/>
              </w:rPr>
              <w:t>Index</w:t>
            </w:r>
          </w:p>
        </w:tc>
        <w:tc>
          <w:tcPr>
            <w:tcW w:w="1067" w:type="dxa"/>
            <w:tcBorders>
              <w:top w:val="single" w:sz="4" w:space="0" w:color="auto"/>
              <w:left w:val="single" w:sz="4" w:space="0" w:color="auto"/>
              <w:bottom w:val="single" w:sz="4" w:space="0" w:color="auto"/>
              <w:right w:val="single" w:sz="4" w:space="0" w:color="auto"/>
            </w:tcBorders>
          </w:tcPr>
          <w:p w:rsidR="000D4EAD" w:rsidRDefault="002D275B">
            <w:pPr>
              <w:keepNext/>
              <w:keepLines/>
              <w:overflowPunct w:val="0"/>
              <w:autoSpaceDE w:val="0"/>
              <w:autoSpaceDN w:val="0"/>
              <w:adjustRightInd w:val="0"/>
              <w:spacing w:before="120" w:after="120"/>
              <w:jc w:val="center"/>
              <w:textAlignment w:val="baseline"/>
              <w:rPr>
                <w:rFonts w:ascii="Arial" w:eastAsia="Times New Roman" w:hAnsi="Arial"/>
                <w:b/>
                <w:sz w:val="18"/>
                <w:lang w:val="en-GB" w:eastAsia="ja-JP"/>
              </w:rPr>
            </w:pPr>
            <w:r>
              <w:rPr>
                <w:rFonts w:ascii="Arial" w:eastAsia="Times New Roman" w:hAnsi="Arial"/>
                <w:b/>
                <w:sz w:val="18"/>
                <w:lang w:val="en-GB" w:eastAsia="ja-JP"/>
              </w:rPr>
              <w:t>Feature group</w:t>
            </w:r>
          </w:p>
        </w:tc>
        <w:tc>
          <w:tcPr>
            <w:tcW w:w="2430" w:type="dxa"/>
            <w:tcBorders>
              <w:top w:val="single" w:sz="4" w:space="0" w:color="auto"/>
              <w:left w:val="single" w:sz="4" w:space="0" w:color="auto"/>
              <w:bottom w:val="single" w:sz="4" w:space="0" w:color="auto"/>
              <w:right w:val="single" w:sz="4" w:space="0" w:color="auto"/>
            </w:tcBorders>
          </w:tcPr>
          <w:p w:rsidR="000D4EAD" w:rsidRDefault="002D275B">
            <w:pPr>
              <w:keepNext/>
              <w:keepLines/>
              <w:overflowPunct w:val="0"/>
              <w:autoSpaceDE w:val="0"/>
              <w:autoSpaceDN w:val="0"/>
              <w:adjustRightInd w:val="0"/>
              <w:spacing w:before="120" w:after="120"/>
              <w:jc w:val="center"/>
              <w:textAlignment w:val="baseline"/>
              <w:rPr>
                <w:rFonts w:ascii="Arial" w:eastAsia="Times New Roman" w:hAnsi="Arial"/>
                <w:b/>
                <w:sz w:val="18"/>
                <w:lang w:val="en-GB" w:eastAsia="ja-JP"/>
              </w:rPr>
            </w:pPr>
            <w:r>
              <w:rPr>
                <w:rFonts w:ascii="Arial" w:eastAsia="Times New Roman" w:hAnsi="Arial"/>
                <w:b/>
                <w:sz w:val="18"/>
                <w:lang w:val="en-GB" w:eastAsia="ja-JP"/>
              </w:rPr>
              <w:t>Components</w:t>
            </w:r>
          </w:p>
        </w:tc>
        <w:tc>
          <w:tcPr>
            <w:tcW w:w="870" w:type="dxa"/>
            <w:tcBorders>
              <w:top w:val="single" w:sz="4" w:space="0" w:color="auto"/>
              <w:left w:val="single" w:sz="4" w:space="0" w:color="auto"/>
              <w:bottom w:val="single" w:sz="4" w:space="0" w:color="auto"/>
              <w:right w:val="single" w:sz="4" w:space="0" w:color="auto"/>
            </w:tcBorders>
          </w:tcPr>
          <w:p w:rsidR="000D4EAD" w:rsidRDefault="002D275B">
            <w:pPr>
              <w:keepNext/>
              <w:keepLines/>
              <w:overflowPunct w:val="0"/>
              <w:autoSpaceDE w:val="0"/>
              <w:autoSpaceDN w:val="0"/>
              <w:adjustRightInd w:val="0"/>
              <w:spacing w:before="120" w:after="120"/>
              <w:jc w:val="center"/>
              <w:textAlignment w:val="baseline"/>
              <w:rPr>
                <w:rFonts w:ascii="Arial" w:eastAsia="Times New Roman" w:hAnsi="Arial"/>
                <w:b/>
                <w:sz w:val="18"/>
                <w:lang w:val="en-GB" w:eastAsia="ja-JP"/>
              </w:rPr>
            </w:pPr>
            <w:r>
              <w:rPr>
                <w:rFonts w:ascii="Arial" w:eastAsia="Times New Roman" w:hAnsi="Arial"/>
                <w:b/>
                <w:sz w:val="18"/>
                <w:lang w:val="en-GB" w:eastAsia="ja-JP"/>
              </w:rPr>
              <w:t>Prerequisite feature groups</w:t>
            </w:r>
          </w:p>
        </w:tc>
        <w:tc>
          <w:tcPr>
            <w:tcW w:w="706" w:type="dxa"/>
            <w:tcBorders>
              <w:top w:val="single" w:sz="4" w:space="0" w:color="auto"/>
              <w:left w:val="single" w:sz="4" w:space="0" w:color="auto"/>
              <w:bottom w:val="single" w:sz="4" w:space="0" w:color="auto"/>
              <w:right w:val="single" w:sz="4" w:space="0" w:color="auto"/>
            </w:tcBorders>
          </w:tcPr>
          <w:p w:rsidR="000D4EAD" w:rsidRDefault="002D275B">
            <w:pPr>
              <w:keepNext/>
              <w:keepLines/>
              <w:overflowPunct w:val="0"/>
              <w:autoSpaceDE w:val="0"/>
              <w:autoSpaceDN w:val="0"/>
              <w:adjustRightInd w:val="0"/>
              <w:spacing w:before="120" w:after="120"/>
              <w:jc w:val="center"/>
              <w:textAlignment w:val="baseline"/>
              <w:rPr>
                <w:rFonts w:ascii="Arial" w:eastAsia="Times New Roman" w:hAnsi="Arial"/>
                <w:b/>
                <w:sz w:val="18"/>
                <w:lang w:val="en-GB" w:eastAsia="ja-JP"/>
              </w:rPr>
            </w:pPr>
            <w:r>
              <w:rPr>
                <w:rFonts w:ascii="Arial" w:eastAsia="Times New Roman" w:hAnsi="Arial"/>
                <w:b/>
                <w:sz w:val="18"/>
                <w:lang w:val="en-GB" w:eastAsia="ja-JP"/>
              </w:rPr>
              <w:t>Need for the gNB to know if the feature is supported</w:t>
            </w:r>
          </w:p>
        </w:tc>
        <w:tc>
          <w:tcPr>
            <w:tcW w:w="727" w:type="dxa"/>
            <w:tcBorders>
              <w:top w:val="single" w:sz="4" w:space="0" w:color="auto"/>
              <w:left w:val="single" w:sz="4" w:space="0" w:color="auto"/>
              <w:bottom w:val="single" w:sz="4" w:space="0" w:color="auto"/>
              <w:right w:val="single" w:sz="4" w:space="0" w:color="auto"/>
            </w:tcBorders>
          </w:tcPr>
          <w:p w:rsidR="000D4EAD" w:rsidRDefault="002D275B">
            <w:pPr>
              <w:keepNext/>
              <w:keepLines/>
              <w:overflowPunct w:val="0"/>
              <w:autoSpaceDE w:val="0"/>
              <w:autoSpaceDN w:val="0"/>
              <w:adjustRightInd w:val="0"/>
              <w:spacing w:before="120" w:after="120"/>
              <w:jc w:val="center"/>
              <w:textAlignment w:val="baseline"/>
              <w:rPr>
                <w:rFonts w:ascii="Arial" w:eastAsia="Times New Roman" w:hAnsi="Arial"/>
                <w:b/>
                <w:sz w:val="18"/>
                <w:lang w:val="en-GB" w:eastAsia="ja-JP"/>
              </w:rPr>
            </w:pPr>
            <w:r>
              <w:rPr>
                <w:rFonts w:ascii="Arial" w:eastAsia="Gulim" w:hAnsi="Arial" w:cs="Century"/>
                <w:b/>
                <w:color w:val="000000"/>
                <w:sz w:val="18"/>
                <w:lang w:val="en-GB" w:eastAsia="ja-JP"/>
              </w:rPr>
              <w:t xml:space="preserve">Applicable to </w:t>
            </w:r>
            <w:r>
              <w:rPr>
                <w:rFonts w:ascii="Arial" w:eastAsia="Times New Roman" w:hAnsi="Arial" w:cs="Century"/>
                <w:b/>
                <w:color w:val="000000"/>
                <w:sz w:val="18"/>
                <w:lang w:val="en-GB" w:eastAsia="ja-JP"/>
              </w:rPr>
              <w:t>the capability signalling exchange between UEs (V2X WI only)”.</w:t>
            </w:r>
          </w:p>
        </w:tc>
        <w:tc>
          <w:tcPr>
            <w:tcW w:w="833"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b/>
                <w:sz w:val="18"/>
                <w:lang w:val="en-GB" w:eastAsia="ja-JP"/>
              </w:rPr>
            </w:pPr>
            <w:r>
              <w:rPr>
                <w:rFonts w:ascii="Arial" w:hAnsi="Arial"/>
                <w:b/>
                <w:sz w:val="18"/>
                <w:lang w:val="en-GB" w:eastAsia="ja-JP"/>
              </w:rPr>
              <w:t>Consequence if the feature is not supported by the UE</w:t>
            </w:r>
          </w:p>
        </w:tc>
        <w:tc>
          <w:tcPr>
            <w:tcW w:w="1164"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b/>
                <w:sz w:val="18"/>
                <w:lang w:val="en-GB" w:eastAsia="ja-JP"/>
              </w:rPr>
            </w:pPr>
            <w:r>
              <w:rPr>
                <w:rFonts w:ascii="Arial" w:hAnsi="Arial"/>
                <w:b/>
                <w:sz w:val="18"/>
                <w:lang w:val="en-GB" w:eastAsia="ja-JP"/>
              </w:rPr>
              <w:t>Type</w:t>
            </w:r>
          </w:p>
          <w:p w:rsidR="000D4EAD" w:rsidRDefault="002D275B">
            <w:pPr>
              <w:keepNext/>
              <w:keepLines/>
              <w:spacing w:before="120" w:after="120"/>
              <w:rPr>
                <w:rFonts w:ascii="Arial" w:hAnsi="Arial"/>
                <w:b/>
                <w:sz w:val="18"/>
                <w:lang w:val="en-GB" w:eastAsia="ja-JP"/>
              </w:rPr>
            </w:pPr>
            <w:r>
              <w:rPr>
                <w:rFonts w:ascii="Arial" w:hAnsi="Arial"/>
                <w:b/>
                <w:sz w:val="18"/>
                <w:lang w:val="en-GB" w:eastAsia="ja-JP"/>
              </w:rPr>
              <w:t>(the ‘type’ definition from UE features should be based on the granularity of 1) Per UE or 2) Per Band or 3) Per BC or 4) Per FS or 5) Per FSPC)</w:t>
            </w:r>
          </w:p>
        </w:tc>
        <w:tc>
          <w:tcPr>
            <w:tcW w:w="636" w:type="dxa"/>
            <w:tcBorders>
              <w:top w:val="single" w:sz="4" w:space="0" w:color="auto"/>
              <w:left w:val="single" w:sz="4" w:space="0" w:color="auto"/>
              <w:bottom w:val="single" w:sz="4" w:space="0" w:color="auto"/>
              <w:right w:val="single" w:sz="4" w:space="0" w:color="auto"/>
            </w:tcBorders>
          </w:tcPr>
          <w:p w:rsidR="000D4EAD" w:rsidRDefault="002D275B">
            <w:pPr>
              <w:keepNext/>
              <w:keepLines/>
              <w:overflowPunct w:val="0"/>
              <w:autoSpaceDE w:val="0"/>
              <w:autoSpaceDN w:val="0"/>
              <w:adjustRightInd w:val="0"/>
              <w:spacing w:before="120" w:after="120"/>
              <w:jc w:val="center"/>
              <w:textAlignment w:val="baseline"/>
              <w:rPr>
                <w:rFonts w:ascii="Arial" w:eastAsia="Times New Roman" w:hAnsi="Arial"/>
                <w:b/>
                <w:sz w:val="18"/>
                <w:lang w:val="en-GB" w:eastAsia="ja-JP"/>
              </w:rPr>
            </w:pPr>
            <w:r>
              <w:rPr>
                <w:rFonts w:ascii="Arial" w:eastAsia="Times New Roman" w:hAnsi="Arial"/>
                <w:b/>
                <w:sz w:val="18"/>
                <w:lang w:val="en-GB" w:eastAsia="ja-JP"/>
              </w:rPr>
              <w:t>Need of FDD/TDD differentiation</w:t>
            </w:r>
          </w:p>
        </w:tc>
        <w:tc>
          <w:tcPr>
            <w:tcW w:w="600" w:type="dxa"/>
            <w:tcBorders>
              <w:top w:val="single" w:sz="4" w:space="0" w:color="auto"/>
              <w:left w:val="single" w:sz="4" w:space="0" w:color="auto"/>
              <w:bottom w:val="single" w:sz="4" w:space="0" w:color="auto"/>
              <w:right w:val="single" w:sz="4" w:space="0" w:color="auto"/>
            </w:tcBorders>
          </w:tcPr>
          <w:p w:rsidR="000D4EAD" w:rsidRDefault="002D275B">
            <w:pPr>
              <w:keepNext/>
              <w:keepLines/>
              <w:overflowPunct w:val="0"/>
              <w:autoSpaceDE w:val="0"/>
              <w:autoSpaceDN w:val="0"/>
              <w:adjustRightInd w:val="0"/>
              <w:spacing w:before="120" w:after="120"/>
              <w:jc w:val="center"/>
              <w:textAlignment w:val="baseline"/>
              <w:rPr>
                <w:rFonts w:ascii="Arial" w:eastAsia="Times New Roman" w:hAnsi="Arial"/>
                <w:b/>
                <w:sz w:val="18"/>
                <w:lang w:val="en-GB" w:eastAsia="ja-JP"/>
              </w:rPr>
            </w:pPr>
            <w:r>
              <w:rPr>
                <w:rFonts w:ascii="Arial" w:eastAsia="Times New Roman" w:hAnsi="Arial"/>
                <w:b/>
                <w:sz w:val="18"/>
                <w:lang w:val="en-GB" w:eastAsia="ja-JP"/>
              </w:rPr>
              <w:t>Need of FR1/FR2 differentiation</w:t>
            </w:r>
          </w:p>
        </w:tc>
        <w:tc>
          <w:tcPr>
            <w:tcW w:w="717" w:type="dxa"/>
            <w:tcBorders>
              <w:top w:val="single" w:sz="4" w:space="0" w:color="auto"/>
              <w:left w:val="single" w:sz="4" w:space="0" w:color="auto"/>
              <w:bottom w:val="single" w:sz="4" w:space="0" w:color="auto"/>
              <w:right w:val="single" w:sz="4" w:space="0" w:color="auto"/>
            </w:tcBorders>
          </w:tcPr>
          <w:p w:rsidR="000D4EAD" w:rsidRDefault="002D275B">
            <w:pPr>
              <w:keepNext/>
              <w:keepLines/>
              <w:overflowPunct w:val="0"/>
              <w:autoSpaceDE w:val="0"/>
              <w:autoSpaceDN w:val="0"/>
              <w:adjustRightInd w:val="0"/>
              <w:spacing w:before="120" w:after="120"/>
              <w:jc w:val="center"/>
              <w:textAlignment w:val="baseline"/>
              <w:rPr>
                <w:rFonts w:ascii="Arial" w:eastAsia="Times New Roman" w:hAnsi="Arial"/>
                <w:b/>
                <w:sz w:val="18"/>
                <w:lang w:val="en-GB" w:eastAsia="ja-JP"/>
              </w:rPr>
            </w:pPr>
            <w:r>
              <w:rPr>
                <w:rFonts w:ascii="Arial" w:eastAsia="Times New Roman" w:hAnsi="Arial"/>
                <w:b/>
                <w:sz w:val="18"/>
                <w:lang w:val="en-GB" w:eastAsia="ja-JP"/>
              </w:rPr>
              <w:t>Capability interpretation for mixture of FDD/TDD and/or FR1/FR2</w:t>
            </w:r>
          </w:p>
        </w:tc>
        <w:tc>
          <w:tcPr>
            <w:tcW w:w="2167" w:type="dxa"/>
            <w:tcBorders>
              <w:top w:val="single" w:sz="4" w:space="0" w:color="auto"/>
              <w:left w:val="single" w:sz="4" w:space="0" w:color="auto"/>
              <w:bottom w:val="single" w:sz="4" w:space="0" w:color="auto"/>
              <w:right w:val="single" w:sz="4" w:space="0" w:color="auto"/>
            </w:tcBorders>
          </w:tcPr>
          <w:p w:rsidR="000D4EAD" w:rsidRDefault="002D275B">
            <w:pPr>
              <w:keepNext/>
              <w:keepLines/>
              <w:overflowPunct w:val="0"/>
              <w:autoSpaceDE w:val="0"/>
              <w:autoSpaceDN w:val="0"/>
              <w:adjustRightInd w:val="0"/>
              <w:spacing w:before="120" w:after="120"/>
              <w:jc w:val="center"/>
              <w:textAlignment w:val="baseline"/>
              <w:rPr>
                <w:rFonts w:ascii="Arial" w:eastAsia="Times New Roman" w:hAnsi="Arial"/>
                <w:b/>
                <w:sz w:val="18"/>
                <w:lang w:val="en-GB" w:eastAsia="ja-JP"/>
              </w:rPr>
            </w:pPr>
            <w:r>
              <w:rPr>
                <w:rFonts w:ascii="Arial" w:eastAsia="Times New Roman" w:hAnsi="Arial"/>
                <w:b/>
                <w:sz w:val="18"/>
                <w:lang w:val="en-GB" w:eastAsia="ja-JP"/>
              </w:rPr>
              <w:t>Note</w:t>
            </w:r>
          </w:p>
        </w:tc>
        <w:tc>
          <w:tcPr>
            <w:tcW w:w="1027" w:type="dxa"/>
            <w:tcBorders>
              <w:top w:val="single" w:sz="4" w:space="0" w:color="auto"/>
              <w:left w:val="single" w:sz="4" w:space="0" w:color="auto"/>
              <w:bottom w:val="single" w:sz="4" w:space="0" w:color="auto"/>
              <w:right w:val="single" w:sz="4" w:space="0" w:color="auto"/>
            </w:tcBorders>
          </w:tcPr>
          <w:p w:rsidR="000D4EAD" w:rsidRDefault="002D275B">
            <w:pPr>
              <w:keepNext/>
              <w:keepLines/>
              <w:overflowPunct w:val="0"/>
              <w:autoSpaceDE w:val="0"/>
              <w:autoSpaceDN w:val="0"/>
              <w:adjustRightInd w:val="0"/>
              <w:spacing w:before="120" w:after="120"/>
              <w:jc w:val="center"/>
              <w:textAlignment w:val="baseline"/>
              <w:rPr>
                <w:rFonts w:ascii="Arial" w:eastAsia="Times New Roman" w:hAnsi="Arial"/>
                <w:b/>
                <w:sz w:val="18"/>
                <w:lang w:val="en-GB" w:eastAsia="ja-JP"/>
              </w:rPr>
            </w:pPr>
            <w:r>
              <w:rPr>
                <w:rFonts w:ascii="Arial" w:eastAsia="Times New Roman" w:hAnsi="Arial"/>
                <w:b/>
                <w:sz w:val="18"/>
                <w:lang w:val="en-GB" w:eastAsia="ja-JP"/>
              </w:rPr>
              <w:t>Mandatory/Optional</w:t>
            </w:r>
          </w:p>
        </w:tc>
      </w:tr>
      <w:tr w:rsidR="000D4EAD">
        <w:trPr>
          <w:trHeight w:val="20"/>
        </w:trPr>
        <w:tc>
          <w:tcPr>
            <w:tcW w:w="630" w:type="dxa"/>
            <w:vMerge w:val="restart"/>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15. 5G_V2X_NRSL</w:t>
            </w:r>
          </w:p>
          <w:p w:rsidR="000D4EAD" w:rsidRDefault="000D4EAD">
            <w:pPr>
              <w:spacing w:beforeLines="0" w:afterLines="0"/>
              <w:jc w:val="left"/>
              <w:rPr>
                <w:rFonts w:eastAsia="MS Gothic"/>
                <w:kern w:val="0"/>
                <w:sz w:val="24"/>
                <w:lang w:val="en-GB" w:eastAsia="ja-JP"/>
              </w:rPr>
            </w:pPr>
          </w:p>
          <w:p w:rsidR="000D4EAD" w:rsidRDefault="000D4EAD">
            <w:pPr>
              <w:spacing w:beforeLines="0" w:afterLines="0"/>
              <w:jc w:val="left"/>
              <w:rPr>
                <w:rFonts w:eastAsia="MS Gothic"/>
                <w:kern w:val="0"/>
                <w:sz w:val="24"/>
                <w:lang w:val="en-GB" w:eastAsia="ja-JP"/>
              </w:rPr>
            </w:pPr>
          </w:p>
          <w:p w:rsidR="000D4EAD" w:rsidRDefault="000D4EAD">
            <w:pPr>
              <w:spacing w:beforeLines="0" w:afterLines="0"/>
              <w:jc w:val="center"/>
              <w:rPr>
                <w:rFonts w:eastAsia="MS Gothic"/>
                <w:kern w:val="0"/>
                <w:sz w:val="24"/>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15-1</w:t>
            </w:r>
          </w:p>
        </w:tc>
        <w:tc>
          <w:tcPr>
            <w:tcW w:w="10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Receiving NR sidelink[by preconfiguration]</w:t>
            </w:r>
          </w:p>
        </w:tc>
        <w:tc>
          <w:tcPr>
            <w:tcW w:w="243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1) UE can receive NR PSCCH/PSSCH. Up to [A] sidelink processes are supported.</w:t>
            </w:r>
          </w:p>
          <w:p w:rsidR="000D4EAD" w:rsidRDefault="002D275B">
            <w:pPr>
              <w:keepNext/>
              <w:keepLines/>
              <w:spacing w:before="120" w:after="120"/>
              <w:rPr>
                <w:rFonts w:ascii="Arial" w:hAnsi="Arial"/>
                <w:sz w:val="18"/>
                <w:lang w:val="en-GB" w:eastAsia="en-US"/>
              </w:rPr>
            </w:pPr>
            <w:r>
              <w:rPr>
                <w:rFonts w:ascii="Arial" w:hAnsi="Arial"/>
                <w:sz w:val="18"/>
                <w:lang w:val="en-GB" w:eastAsia="en-US"/>
              </w:rPr>
              <w:t>2) UE can receive [X] PSCCH in a slot.</w:t>
            </w:r>
          </w:p>
          <w:p w:rsidR="000D4EAD" w:rsidRDefault="002D275B">
            <w:pPr>
              <w:keepNext/>
              <w:keepLines/>
              <w:spacing w:before="120" w:after="120"/>
              <w:rPr>
                <w:rFonts w:ascii="Arial" w:hAnsi="Arial"/>
                <w:sz w:val="18"/>
                <w:lang w:val="en-GB" w:eastAsia="en-US"/>
              </w:rPr>
            </w:pPr>
            <w:r>
              <w:rPr>
                <w:rFonts w:ascii="Arial" w:hAnsi="Arial"/>
                <w:sz w:val="18"/>
                <w:lang w:val="en-GB" w:eastAsia="en-US"/>
              </w:rPr>
              <w:t>3) UE can decode [Y] RBs per slot (FFS: counting both PSCCH and PSSCH).</w:t>
            </w:r>
          </w:p>
          <w:p w:rsidR="000D4EAD" w:rsidRDefault="002D275B">
            <w:pPr>
              <w:keepNext/>
              <w:keepLines/>
              <w:spacing w:before="120" w:after="120"/>
              <w:rPr>
                <w:rFonts w:ascii="Arial" w:hAnsi="Arial"/>
                <w:sz w:val="18"/>
                <w:lang w:val="en-GB" w:eastAsia="en-US"/>
              </w:rPr>
            </w:pPr>
            <w:r>
              <w:rPr>
                <w:rFonts w:ascii="Arial" w:hAnsi="Arial"/>
                <w:sz w:val="18"/>
                <w:lang w:val="en-GB" w:eastAsia="en-US"/>
              </w:rPr>
              <w:t>4) UE supports reception based on the normal 64QAM MCS table [and 256QAM MCS table].</w:t>
            </w:r>
          </w:p>
          <w:p w:rsidR="000D4EAD" w:rsidRDefault="002D275B">
            <w:pPr>
              <w:keepNext/>
              <w:keepLines/>
              <w:spacing w:before="120" w:after="120"/>
              <w:rPr>
                <w:rFonts w:ascii="Arial" w:hAnsi="Arial"/>
                <w:sz w:val="18"/>
                <w:lang w:val="en-GB" w:eastAsia="en-US"/>
              </w:rPr>
            </w:pPr>
            <w:r>
              <w:rPr>
                <w:rFonts w:ascii="Arial" w:hAnsi="Arial"/>
                <w:sz w:val="18"/>
                <w:lang w:val="en-GB" w:eastAsia="en-US"/>
              </w:rPr>
              <w:t>5) UE supports PT-RS reception in FR2.</w:t>
            </w:r>
          </w:p>
          <w:p w:rsidR="000D4EAD" w:rsidRDefault="002D275B">
            <w:pPr>
              <w:keepNext/>
              <w:keepLines/>
              <w:spacing w:before="120" w:after="120"/>
              <w:rPr>
                <w:rFonts w:ascii="Arial" w:hAnsi="Arial"/>
                <w:sz w:val="18"/>
                <w:lang w:val="en-GB" w:eastAsia="en-US"/>
              </w:rPr>
            </w:pPr>
            <w:r>
              <w:rPr>
                <w:rFonts w:ascii="Arial" w:hAnsi="Arial"/>
                <w:sz w:val="18"/>
                <w:lang w:val="en-GB" w:eastAsia="en-US"/>
              </w:rPr>
              <w:t>FFS: 6) The UE can receive [Z] total number of soft channel bits in a slot.</w:t>
            </w:r>
          </w:p>
          <w:p w:rsidR="000D4EAD" w:rsidRDefault="000D4EAD">
            <w:pPr>
              <w:spacing w:beforeLines="0" w:afterLines="0"/>
              <w:jc w:val="left"/>
              <w:rPr>
                <w:rFonts w:eastAsia="MS Gothic"/>
                <w:kern w:val="0"/>
                <w:sz w:val="24"/>
                <w:lang w:val="en-GB" w:eastAsia="ja-JP"/>
              </w:rPr>
            </w:pPr>
          </w:p>
          <w:p w:rsidR="000D4EAD" w:rsidRDefault="002D275B">
            <w:pPr>
              <w:keepNext/>
              <w:keepLines/>
              <w:spacing w:before="120" w:after="120"/>
              <w:rPr>
                <w:rFonts w:ascii="Arial" w:hAnsi="Arial"/>
                <w:sz w:val="18"/>
                <w:lang w:val="en-GB" w:eastAsia="en-US"/>
              </w:rPr>
            </w:pPr>
            <w:r>
              <w:rPr>
                <w:rFonts w:ascii="Arial" w:hAnsi="Arial"/>
                <w:sz w:val="18"/>
                <w:lang w:val="en-GB" w:eastAsia="en-US"/>
              </w:rPr>
              <w:t>8) UE can receive using the subcarrier spacing it reports.</w:t>
            </w:r>
          </w:p>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FFS: 9) CP length</w:t>
            </w:r>
          </w:p>
        </w:tc>
        <w:tc>
          <w:tcPr>
            <w:tcW w:w="87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lastRenderedPageBreak/>
              <w:t>None</w:t>
            </w:r>
          </w:p>
        </w:tc>
        <w:tc>
          <w:tcPr>
            <w:tcW w:w="70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i/>
                <w:sz w:val="18"/>
                <w:lang w:val="en-GB" w:eastAsia="en-US"/>
              </w:rPr>
            </w:pPr>
            <w:r>
              <w:rPr>
                <w:rFonts w:ascii="Arial" w:eastAsia="Malgun Gothic" w:hAnsi="Arial"/>
                <w:sz w:val="18"/>
                <w:lang w:val="en-GB" w:eastAsia="ko-KR"/>
              </w:rPr>
              <w:t>FFS</w:t>
            </w:r>
          </w:p>
        </w:tc>
        <w:tc>
          <w:tcPr>
            <w:tcW w:w="7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No</w:t>
            </w:r>
          </w:p>
        </w:tc>
        <w:tc>
          <w:tcPr>
            <w:tcW w:w="833"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1164"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Per band</w:t>
            </w:r>
          </w:p>
        </w:tc>
        <w:tc>
          <w:tcPr>
            <w:tcW w:w="63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N.A.</w:t>
            </w:r>
          </w:p>
        </w:tc>
        <w:tc>
          <w:tcPr>
            <w:tcW w:w="60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N.A.</w:t>
            </w:r>
          </w:p>
        </w:tc>
        <w:tc>
          <w:tcPr>
            <w:tcW w:w="71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N.A.</w:t>
            </w:r>
          </w:p>
        </w:tc>
        <w:tc>
          <w:tcPr>
            <w:tcW w:w="21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rPr>
            </w:pPr>
            <w:r>
              <w:rPr>
                <w:rFonts w:ascii="Arial" w:hAnsi="Arial"/>
                <w:sz w:val="18"/>
                <w:lang w:val="en-GB"/>
              </w:rPr>
              <w:t>This is the basic FG for sidelink</w:t>
            </w:r>
          </w:p>
          <w:p w:rsidR="000D4EAD" w:rsidRDefault="000D4EAD">
            <w:pPr>
              <w:keepNext/>
              <w:keepLines/>
              <w:spacing w:before="120" w:after="120"/>
              <w:rPr>
                <w:rFonts w:ascii="Arial" w:hAnsi="Arial"/>
                <w:sz w:val="18"/>
                <w:lang w:val="en-GB"/>
              </w:rPr>
            </w:pPr>
          </w:p>
          <w:p w:rsidR="000D4EAD" w:rsidRDefault="002D275B">
            <w:pPr>
              <w:keepNext/>
              <w:keepLines/>
              <w:spacing w:before="120" w:after="120"/>
              <w:rPr>
                <w:rFonts w:ascii="Arial" w:hAnsi="Arial"/>
                <w:sz w:val="18"/>
                <w:lang w:val="en-GB"/>
              </w:rPr>
            </w:pPr>
            <w:r>
              <w:rPr>
                <w:rFonts w:ascii="Arial" w:hAnsi="Arial"/>
                <w:sz w:val="18"/>
                <w:lang w:val="en-GB"/>
              </w:rPr>
              <w:t>Component-2 candidate value set: {value1, value2, …}</w:t>
            </w:r>
          </w:p>
          <w:p w:rsidR="000D4EAD" w:rsidRDefault="002D275B">
            <w:pPr>
              <w:keepNext/>
              <w:keepLines/>
              <w:spacing w:before="120" w:after="120"/>
              <w:rPr>
                <w:rFonts w:ascii="Arial" w:hAnsi="Arial"/>
                <w:sz w:val="18"/>
                <w:lang w:val="en-GB"/>
              </w:rPr>
            </w:pPr>
            <w:r>
              <w:rPr>
                <w:rFonts w:ascii="Arial" w:hAnsi="Arial"/>
                <w:sz w:val="18"/>
                <w:lang w:val="en-GB"/>
              </w:rPr>
              <w:t>FFS: whether to report different value for each SCS indicated in component-8</w:t>
            </w:r>
          </w:p>
          <w:p w:rsidR="000D4EAD" w:rsidRDefault="000D4EAD">
            <w:pPr>
              <w:keepNext/>
              <w:keepLines/>
              <w:spacing w:before="120" w:after="120"/>
              <w:rPr>
                <w:rFonts w:ascii="Arial" w:hAnsi="Arial"/>
                <w:sz w:val="18"/>
                <w:lang w:val="en-GB"/>
              </w:rPr>
            </w:pPr>
          </w:p>
          <w:p w:rsidR="000D4EAD" w:rsidRDefault="002D275B">
            <w:pPr>
              <w:keepNext/>
              <w:keepLines/>
              <w:spacing w:before="120" w:after="120"/>
              <w:rPr>
                <w:rFonts w:ascii="Arial" w:hAnsi="Arial"/>
                <w:sz w:val="18"/>
                <w:lang w:val="en-GB"/>
              </w:rPr>
            </w:pPr>
            <w:r>
              <w:rPr>
                <w:rFonts w:ascii="Arial" w:hAnsi="Arial"/>
                <w:sz w:val="18"/>
                <w:lang w:val="en-GB"/>
              </w:rPr>
              <w:t>Component-3 candidate value set: {value1, value2, …}</w:t>
            </w:r>
          </w:p>
          <w:p w:rsidR="000D4EAD" w:rsidRDefault="002D275B">
            <w:pPr>
              <w:keepNext/>
              <w:keepLines/>
              <w:spacing w:before="120" w:after="120"/>
              <w:rPr>
                <w:rFonts w:ascii="Arial" w:hAnsi="Arial"/>
                <w:sz w:val="18"/>
                <w:lang w:val="en-GB"/>
              </w:rPr>
            </w:pPr>
            <w:r>
              <w:rPr>
                <w:rFonts w:ascii="Arial" w:hAnsi="Arial"/>
                <w:sz w:val="18"/>
                <w:lang w:val="en-GB"/>
              </w:rPr>
              <w:t xml:space="preserve">FFS: whether to report different value for each SCS indicated in </w:t>
            </w:r>
            <w:r>
              <w:rPr>
                <w:rFonts w:ascii="Arial" w:hAnsi="Arial"/>
                <w:sz w:val="18"/>
                <w:lang w:val="en-GB"/>
              </w:rPr>
              <w:lastRenderedPageBreak/>
              <w:t>component-8</w:t>
            </w:r>
          </w:p>
          <w:p w:rsidR="000D4EAD" w:rsidRDefault="000D4EAD">
            <w:pPr>
              <w:keepNext/>
              <w:keepLines/>
              <w:spacing w:before="120" w:after="120"/>
              <w:rPr>
                <w:rFonts w:ascii="Arial" w:hAnsi="Arial"/>
                <w:sz w:val="18"/>
                <w:lang w:val="en-GB"/>
              </w:rPr>
            </w:pPr>
          </w:p>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Component-8 candidate value set in FR1:</w:t>
            </w:r>
          </w:p>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{{15 kHz}, {30 kHz}, {60 kHz}, {15, 30 kHz}, {30, 60 kHz}, {15, 60 kHz}, {15, 30, 60 kHz}}</w:t>
            </w:r>
          </w:p>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Component-8 candidate value set in FR2:</w:t>
            </w:r>
          </w:p>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{{60 kHz}, {120 kHz}, {60, 120 kHz}}</w:t>
            </w:r>
          </w:p>
          <w:p w:rsidR="000D4EAD" w:rsidRDefault="002D275B">
            <w:pPr>
              <w:keepNext/>
              <w:keepLines/>
              <w:spacing w:before="120" w:after="120"/>
              <w:rPr>
                <w:rFonts w:ascii="Arial" w:hAnsi="Arial"/>
                <w:sz w:val="18"/>
                <w:lang w:val="en-GB"/>
              </w:rPr>
            </w:pPr>
            <w:r>
              <w:rPr>
                <w:rFonts w:ascii="Arial" w:eastAsia="Malgun Gothic" w:hAnsi="Arial"/>
                <w:sz w:val="18"/>
                <w:lang w:val="en-GB" w:eastAsia="ko-KR"/>
              </w:rPr>
              <w:t>FFS: whether to mandate an SCS.</w:t>
            </w:r>
          </w:p>
          <w:p w:rsidR="000D4EAD" w:rsidRDefault="000D4EAD">
            <w:pPr>
              <w:keepNext/>
              <w:keepLines/>
              <w:spacing w:before="120" w:after="120"/>
              <w:rPr>
                <w:rFonts w:ascii="Arial" w:hAnsi="Arial"/>
                <w:sz w:val="18"/>
                <w:lang w:val="en-GB"/>
              </w:rPr>
            </w:pPr>
          </w:p>
        </w:tc>
        <w:tc>
          <w:tcPr>
            <w:tcW w:w="10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en-US"/>
              </w:rPr>
              <w:lastRenderedPageBreak/>
              <w:t>Optional with capability signaling. For UE supports NR sidelink, UE must indicate this FG is supported.</w:t>
            </w:r>
          </w:p>
        </w:tc>
      </w:tr>
      <w:tr w:rsidR="000D4EAD">
        <w:trPr>
          <w:trHeight w:val="20"/>
        </w:trPr>
        <w:tc>
          <w:tcPr>
            <w:tcW w:w="630" w:type="dxa"/>
            <w:vMerge/>
            <w:tcBorders>
              <w:top w:val="single" w:sz="4" w:space="0" w:color="auto"/>
              <w:left w:val="single" w:sz="4" w:space="0" w:color="auto"/>
              <w:bottom w:val="single" w:sz="4" w:space="0" w:color="auto"/>
              <w:right w:val="single" w:sz="4" w:space="0" w:color="auto"/>
            </w:tcBorders>
            <w:vAlign w:val="center"/>
          </w:tcPr>
          <w:p w:rsidR="000D4EAD" w:rsidRDefault="000D4EAD">
            <w:pPr>
              <w:spacing w:beforeLines="0" w:afterLines="0"/>
              <w:jc w:val="left"/>
              <w:rPr>
                <w:rFonts w:eastAsia="MS Gothic"/>
                <w:kern w:val="0"/>
                <w:sz w:val="24"/>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[15-1a]</w:t>
            </w:r>
          </w:p>
        </w:tc>
        <w:tc>
          <w:tcPr>
            <w:tcW w:w="10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FFS: Receiving NR sidelink configured by NR Uu</w:t>
            </w:r>
          </w:p>
        </w:tc>
        <w:tc>
          <w:tcPr>
            <w:tcW w:w="243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1) UE can receive NR PSCCH/PSSCH. Up to [A] sidelink processes are supported.</w:t>
            </w:r>
          </w:p>
          <w:p w:rsidR="000D4EAD" w:rsidRDefault="002D275B">
            <w:pPr>
              <w:keepNext/>
              <w:keepLines/>
              <w:spacing w:before="120" w:after="120"/>
              <w:rPr>
                <w:rFonts w:ascii="Arial" w:hAnsi="Arial"/>
                <w:sz w:val="18"/>
                <w:lang w:val="en-GB" w:eastAsia="en-US"/>
              </w:rPr>
            </w:pPr>
            <w:r>
              <w:rPr>
                <w:rFonts w:ascii="Arial" w:hAnsi="Arial"/>
                <w:sz w:val="18"/>
                <w:lang w:val="en-GB" w:eastAsia="en-US"/>
              </w:rPr>
              <w:t>2) UE can receive [X] PSCCH in a slot.</w:t>
            </w:r>
          </w:p>
          <w:p w:rsidR="000D4EAD" w:rsidRDefault="002D275B">
            <w:pPr>
              <w:keepNext/>
              <w:keepLines/>
              <w:spacing w:before="120" w:after="120"/>
              <w:rPr>
                <w:rFonts w:ascii="Arial" w:hAnsi="Arial"/>
                <w:sz w:val="18"/>
                <w:lang w:val="en-GB" w:eastAsia="en-US"/>
              </w:rPr>
            </w:pPr>
            <w:r>
              <w:rPr>
                <w:rFonts w:ascii="Arial" w:hAnsi="Arial"/>
                <w:sz w:val="18"/>
                <w:lang w:val="en-GB" w:eastAsia="en-US"/>
              </w:rPr>
              <w:t>3) UE can decode [Y] RBs per slot (FFS: counting both PSCCH and PSSCH).</w:t>
            </w:r>
          </w:p>
          <w:p w:rsidR="000D4EAD" w:rsidRDefault="002D275B">
            <w:pPr>
              <w:keepNext/>
              <w:keepLines/>
              <w:spacing w:before="120" w:after="120"/>
              <w:rPr>
                <w:rFonts w:ascii="Arial" w:hAnsi="Arial"/>
                <w:sz w:val="18"/>
                <w:lang w:val="en-GB" w:eastAsia="en-US"/>
              </w:rPr>
            </w:pPr>
            <w:r>
              <w:rPr>
                <w:rFonts w:ascii="Arial" w:hAnsi="Arial"/>
                <w:sz w:val="18"/>
                <w:lang w:val="en-GB" w:eastAsia="en-US"/>
              </w:rPr>
              <w:t>4) UE supports reception based on the normal 64QAM MCS table [and 256QAM MCS table].</w:t>
            </w:r>
          </w:p>
          <w:p w:rsidR="000D4EAD" w:rsidRDefault="002D275B">
            <w:pPr>
              <w:keepNext/>
              <w:keepLines/>
              <w:spacing w:before="120" w:after="120"/>
              <w:rPr>
                <w:rFonts w:ascii="Arial" w:hAnsi="Arial"/>
                <w:sz w:val="18"/>
                <w:lang w:val="en-GB" w:eastAsia="en-US"/>
              </w:rPr>
            </w:pPr>
            <w:r>
              <w:rPr>
                <w:rFonts w:ascii="Arial" w:hAnsi="Arial"/>
                <w:sz w:val="18"/>
                <w:lang w:val="en-GB" w:eastAsia="en-US"/>
              </w:rPr>
              <w:t>5) UE supports PT-RS reception in FR2.</w:t>
            </w:r>
          </w:p>
          <w:p w:rsidR="000D4EAD" w:rsidRDefault="002D275B">
            <w:pPr>
              <w:keepNext/>
              <w:keepLines/>
              <w:spacing w:before="120" w:after="120"/>
              <w:rPr>
                <w:rFonts w:ascii="Arial" w:hAnsi="Arial"/>
                <w:sz w:val="18"/>
                <w:lang w:val="en-GB" w:eastAsia="en-US"/>
              </w:rPr>
            </w:pPr>
            <w:r>
              <w:rPr>
                <w:rFonts w:ascii="Arial" w:hAnsi="Arial"/>
                <w:sz w:val="18"/>
                <w:lang w:val="en-GB" w:eastAsia="en-US"/>
              </w:rPr>
              <w:t>6) The UE can receive [Z] total number of soft channel bits in a slot.</w:t>
            </w:r>
          </w:p>
          <w:p w:rsidR="000D4EAD" w:rsidRDefault="002D275B">
            <w:pPr>
              <w:keepNext/>
              <w:keepLines/>
              <w:spacing w:before="120" w:after="120"/>
              <w:rPr>
                <w:rFonts w:ascii="Arial" w:hAnsi="Arial"/>
                <w:sz w:val="18"/>
                <w:lang w:val="en-GB" w:eastAsia="en-US"/>
              </w:rPr>
            </w:pPr>
            <w:r>
              <w:rPr>
                <w:rFonts w:ascii="Arial" w:hAnsi="Arial"/>
                <w:sz w:val="18"/>
                <w:lang w:val="en-GB" w:eastAsia="en-US"/>
              </w:rPr>
              <w:t>7) UE supports 2 receive antennas.</w:t>
            </w:r>
          </w:p>
          <w:p w:rsidR="000D4EAD" w:rsidRDefault="002D275B">
            <w:pPr>
              <w:keepNext/>
              <w:keepLines/>
              <w:spacing w:before="120" w:after="120"/>
              <w:rPr>
                <w:rFonts w:ascii="Arial" w:hAnsi="Arial"/>
                <w:sz w:val="18"/>
                <w:lang w:val="en-GB" w:eastAsia="en-US"/>
              </w:rPr>
            </w:pPr>
            <w:r>
              <w:rPr>
                <w:rFonts w:ascii="Arial" w:hAnsi="Arial"/>
                <w:sz w:val="18"/>
                <w:lang w:val="en-GB" w:eastAsia="en-US"/>
              </w:rPr>
              <w:t xml:space="preserve">[8) 30 kHz SCS is </w:t>
            </w:r>
            <w:r>
              <w:rPr>
                <w:rFonts w:ascii="Arial" w:hAnsi="Arial"/>
                <w:sz w:val="18"/>
                <w:lang w:val="en-GB" w:eastAsia="en-US"/>
              </w:rPr>
              <w:lastRenderedPageBreak/>
              <w:t>supported for FR1.]</w:t>
            </w:r>
          </w:p>
        </w:tc>
        <w:tc>
          <w:tcPr>
            <w:tcW w:w="87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lastRenderedPageBreak/>
              <w:t>15-1</w:t>
            </w:r>
          </w:p>
        </w:tc>
        <w:tc>
          <w:tcPr>
            <w:tcW w:w="706"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72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833"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1164"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636"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60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71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21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[Component-2 and Component-3 are the same as in FG15-1 and are not reported separately]</w:t>
            </w:r>
          </w:p>
        </w:tc>
        <w:tc>
          <w:tcPr>
            <w:tcW w:w="10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Optional with capability signalling</w:t>
            </w:r>
          </w:p>
        </w:tc>
      </w:tr>
      <w:tr w:rsidR="000D4EAD">
        <w:trPr>
          <w:trHeight w:val="20"/>
        </w:trPr>
        <w:tc>
          <w:tcPr>
            <w:tcW w:w="630" w:type="dxa"/>
            <w:vMerge/>
            <w:tcBorders>
              <w:top w:val="single" w:sz="4" w:space="0" w:color="auto"/>
              <w:left w:val="single" w:sz="4" w:space="0" w:color="auto"/>
              <w:bottom w:val="single" w:sz="4" w:space="0" w:color="auto"/>
              <w:right w:val="single" w:sz="4" w:space="0" w:color="auto"/>
            </w:tcBorders>
            <w:vAlign w:val="center"/>
          </w:tcPr>
          <w:p w:rsidR="000D4EAD" w:rsidRDefault="000D4EAD">
            <w:pPr>
              <w:spacing w:beforeLines="0" w:afterLines="0"/>
              <w:jc w:val="left"/>
              <w:rPr>
                <w:rFonts w:eastAsia="MS Gothic"/>
                <w:kern w:val="0"/>
                <w:sz w:val="24"/>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15-2</w:t>
            </w:r>
          </w:p>
        </w:tc>
        <w:tc>
          <w:tcPr>
            <w:tcW w:w="10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Transmitting NR sidelink mode 1 scheduled by NR Uu</w:t>
            </w:r>
          </w:p>
        </w:tc>
        <w:tc>
          <w:tcPr>
            <w:tcW w:w="243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1) UE can transmit PSCCH/PSSCH using dynamic scheduling or configured grant type 1 and 2 in NR sidelink mode 1 scheduled by NR Uu. Up to [8] configured grants can be configured for a UE.</w:t>
            </w:r>
          </w:p>
          <w:p w:rsidR="000D4EAD" w:rsidRDefault="002D275B">
            <w:pPr>
              <w:keepNext/>
              <w:keepLines/>
              <w:spacing w:before="120" w:after="120"/>
              <w:rPr>
                <w:rFonts w:ascii="Arial" w:hAnsi="Arial"/>
                <w:sz w:val="18"/>
                <w:lang w:val="en-GB" w:eastAsia="en-US"/>
              </w:rPr>
            </w:pPr>
            <w:r>
              <w:rPr>
                <w:rFonts w:ascii="Arial" w:hAnsi="Arial"/>
                <w:sz w:val="18"/>
                <w:lang w:val="en-GB" w:eastAsia="en-US"/>
              </w:rPr>
              <w:t>2) UE supports transmission based on the normal 64QAM MCS table.</w:t>
            </w:r>
          </w:p>
          <w:p w:rsidR="000D4EAD" w:rsidRDefault="002D275B">
            <w:pPr>
              <w:keepNext/>
              <w:keepLines/>
              <w:spacing w:before="120" w:after="120"/>
              <w:rPr>
                <w:rFonts w:ascii="Arial" w:hAnsi="Arial"/>
                <w:sz w:val="18"/>
                <w:lang w:val="en-GB" w:eastAsia="en-US"/>
              </w:rPr>
            </w:pPr>
            <w:r>
              <w:rPr>
                <w:rFonts w:ascii="Arial" w:hAnsi="Arial"/>
                <w:sz w:val="18"/>
                <w:lang w:val="en-GB" w:eastAsia="en-US"/>
              </w:rPr>
              <w:t>3) UE supports PT-RS transmission in FR2.</w:t>
            </w:r>
          </w:p>
          <w:p w:rsidR="000D4EAD" w:rsidRDefault="002D275B">
            <w:pPr>
              <w:keepNext/>
              <w:keepLines/>
              <w:spacing w:before="120" w:after="120"/>
              <w:rPr>
                <w:rFonts w:ascii="Arial" w:hAnsi="Arial"/>
                <w:sz w:val="18"/>
                <w:lang w:val="en-GB" w:eastAsia="en-US"/>
              </w:rPr>
            </w:pPr>
            <w:r>
              <w:rPr>
                <w:rFonts w:ascii="Arial" w:hAnsi="Arial"/>
                <w:sz w:val="18"/>
                <w:lang w:val="en-GB" w:eastAsia="en-US"/>
              </w:rPr>
              <w:t>4) UE can monitor DCI format 3_0 for NR sidelink dynamic scheduling and configured grant type 2.</w:t>
            </w:r>
          </w:p>
          <w:p w:rsidR="000D4EAD" w:rsidRDefault="000D4EAD">
            <w:pPr>
              <w:keepNext/>
              <w:keepLines/>
              <w:spacing w:before="120" w:after="120"/>
              <w:rPr>
                <w:rFonts w:ascii="Arial" w:hAnsi="Arial"/>
                <w:sz w:val="18"/>
                <w:lang w:val="en-GB" w:eastAsia="en-US"/>
              </w:rPr>
            </w:pPr>
          </w:p>
          <w:p w:rsidR="000D4EAD" w:rsidRDefault="002D275B">
            <w:pPr>
              <w:keepNext/>
              <w:keepLines/>
              <w:spacing w:before="120" w:after="120"/>
              <w:rPr>
                <w:rFonts w:ascii="Arial" w:hAnsi="Arial"/>
                <w:sz w:val="18"/>
                <w:lang w:val="en-GB" w:eastAsia="en-US"/>
              </w:rPr>
            </w:pPr>
            <w:r>
              <w:rPr>
                <w:rFonts w:ascii="Arial" w:hAnsi="Arial"/>
                <w:sz w:val="18"/>
                <w:lang w:val="en-GB" w:eastAsia="en-US"/>
              </w:rPr>
              <w:t>6) UE can transmit using the subcarrier spacing it reports.</w:t>
            </w:r>
          </w:p>
          <w:p w:rsidR="000D4EAD" w:rsidRDefault="002D275B">
            <w:pPr>
              <w:keepNext/>
              <w:keepLines/>
              <w:spacing w:before="120" w:after="120"/>
              <w:rPr>
                <w:rFonts w:ascii="Arial" w:hAnsi="Arial"/>
                <w:sz w:val="18"/>
                <w:lang w:val="en-GB" w:eastAsia="en-US"/>
              </w:rPr>
            </w:pPr>
            <w:r>
              <w:rPr>
                <w:rFonts w:ascii="Arial" w:hAnsi="Arial"/>
                <w:sz w:val="18"/>
                <w:lang w:val="en-GB" w:eastAsia="en-US"/>
              </w:rPr>
              <w:t>FFS: 7) CP length</w:t>
            </w:r>
          </w:p>
        </w:tc>
        <w:tc>
          <w:tcPr>
            <w:tcW w:w="87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70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Yes</w:t>
            </w:r>
          </w:p>
        </w:tc>
        <w:tc>
          <w:tcPr>
            <w:tcW w:w="7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i/>
                <w:sz w:val="18"/>
                <w:lang w:val="en-GB" w:eastAsia="en-US"/>
              </w:rPr>
            </w:pPr>
            <w:r>
              <w:rPr>
                <w:rFonts w:ascii="Arial" w:eastAsia="Malgun Gothic" w:hAnsi="Arial"/>
                <w:sz w:val="18"/>
                <w:lang w:val="en-GB" w:eastAsia="ko-KR"/>
              </w:rPr>
              <w:t>No</w:t>
            </w:r>
          </w:p>
        </w:tc>
        <w:tc>
          <w:tcPr>
            <w:tcW w:w="833"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1164"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Per band</w:t>
            </w:r>
          </w:p>
          <w:p w:rsidR="000D4EAD" w:rsidRDefault="000D4EAD">
            <w:pPr>
              <w:keepNext/>
              <w:keepLines/>
              <w:spacing w:before="120" w:after="120"/>
              <w:rPr>
                <w:rFonts w:ascii="Arial" w:hAnsi="Arial"/>
                <w:sz w:val="18"/>
                <w:lang w:val="en-GB" w:eastAsia="ja-JP"/>
              </w:rPr>
            </w:pPr>
          </w:p>
        </w:tc>
        <w:tc>
          <w:tcPr>
            <w:tcW w:w="63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N.A.</w:t>
            </w:r>
          </w:p>
        </w:tc>
        <w:tc>
          <w:tcPr>
            <w:tcW w:w="60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N.A.</w:t>
            </w:r>
          </w:p>
        </w:tc>
        <w:tc>
          <w:tcPr>
            <w:tcW w:w="71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N.A.</w:t>
            </w:r>
          </w:p>
        </w:tc>
        <w:tc>
          <w:tcPr>
            <w:tcW w:w="21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Note: Random selection in the exceptional pool is supported.</w:t>
            </w:r>
          </w:p>
          <w:p w:rsidR="000D4EAD" w:rsidRDefault="000D4EAD">
            <w:pPr>
              <w:keepNext/>
              <w:keepLines/>
              <w:spacing w:before="120" w:after="120"/>
              <w:rPr>
                <w:rFonts w:ascii="Arial" w:hAnsi="Arial"/>
                <w:sz w:val="18"/>
                <w:lang w:val="en-GB" w:eastAsia="en-US"/>
              </w:rPr>
            </w:pPr>
          </w:p>
          <w:p w:rsidR="000D4EAD" w:rsidRDefault="002D275B">
            <w:pPr>
              <w:keepNext/>
              <w:keepLines/>
              <w:spacing w:before="120" w:after="120"/>
              <w:rPr>
                <w:rFonts w:ascii="Arial" w:hAnsi="Arial"/>
                <w:sz w:val="18"/>
                <w:lang w:val="en-GB" w:eastAsia="en-US"/>
              </w:rPr>
            </w:pPr>
            <w:r>
              <w:rPr>
                <w:rFonts w:ascii="Arial" w:hAnsi="Arial"/>
                <w:sz w:val="18"/>
                <w:lang w:val="en-GB" w:eastAsia="en-US"/>
              </w:rPr>
              <w:t>This is the basic FG for sidelink in licensed spectrum where gNB is defined and optional FGfor ITS spectrum where gNB is not defined.</w:t>
            </w:r>
          </w:p>
          <w:p w:rsidR="000D4EAD" w:rsidRDefault="000D4EAD">
            <w:pPr>
              <w:keepNext/>
              <w:keepLines/>
              <w:spacing w:before="120" w:after="120"/>
              <w:rPr>
                <w:rFonts w:ascii="Arial" w:hAnsi="Arial"/>
                <w:sz w:val="18"/>
                <w:lang w:val="en-GB" w:eastAsia="en-US"/>
              </w:rPr>
            </w:pPr>
          </w:p>
          <w:p w:rsidR="000D4EAD" w:rsidRDefault="002D275B">
            <w:pPr>
              <w:keepNext/>
              <w:keepLines/>
              <w:spacing w:before="120" w:after="120"/>
              <w:rPr>
                <w:rFonts w:ascii="Arial" w:hAnsi="Arial"/>
                <w:sz w:val="18"/>
                <w:lang w:val="en-GB" w:eastAsia="en-US"/>
              </w:rPr>
            </w:pPr>
            <w:r>
              <w:rPr>
                <w:rFonts w:ascii="Arial" w:hAnsi="Arial"/>
                <w:sz w:val="18"/>
                <w:lang w:val="en-GB" w:eastAsia="en-US"/>
              </w:rPr>
              <w:t>Component-6 candidate value set in FR1:</w:t>
            </w:r>
          </w:p>
          <w:p w:rsidR="000D4EAD" w:rsidRDefault="002D275B">
            <w:pPr>
              <w:keepNext/>
              <w:keepLines/>
              <w:spacing w:before="120" w:after="120"/>
              <w:rPr>
                <w:rFonts w:ascii="Arial" w:hAnsi="Arial"/>
                <w:sz w:val="18"/>
                <w:lang w:val="en-GB" w:eastAsia="en-US"/>
              </w:rPr>
            </w:pPr>
            <w:r>
              <w:rPr>
                <w:rFonts w:ascii="Arial" w:hAnsi="Arial"/>
                <w:sz w:val="18"/>
                <w:lang w:val="en-GB" w:eastAsia="en-US"/>
              </w:rPr>
              <w:t>{{15 kHz}, {30 kHz}, {60 kHz}, {15, 30 kHz}, {30, 60 kHz}, {15, 60 kHz}, {15, 30, 60 kHz}}</w:t>
            </w:r>
          </w:p>
          <w:p w:rsidR="000D4EAD" w:rsidRDefault="002D275B">
            <w:pPr>
              <w:keepNext/>
              <w:keepLines/>
              <w:spacing w:before="120" w:after="120"/>
              <w:rPr>
                <w:rFonts w:ascii="Arial" w:hAnsi="Arial"/>
                <w:sz w:val="18"/>
                <w:lang w:val="en-GB" w:eastAsia="en-US"/>
              </w:rPr>
            </w:pPr>
            <w:r>
              <w:rPr>
                <w:rFonts w:ascii="Arial" w:hAnsi="Arial"/>
                <w:sz w:val="18"/>
                <w:lang w:val="en-GB" w:eastAsia="en-US"/>
              </w:rPr>
              <w:t>Component-6 candidate value set in FR2:</w:t>
            </w:r>
          </w:p>
          <w:p w:rsidR="000D4EAD" w:rsidRDefault="002D275B">
            <w:pPr>
              <w:keepNext/>
              <w:keepLines/>
              <w:spacing w:before="120" w:after="120"/>
              <w:rPr>
                <w:rFonts w:ascii="Arial" w:hAnsi="Arial"/>
                <w:sz w:val="18"/>
                <w:lang w:val="en-GB" w:eastAsia="en-US"/>
              </w:rPr>
            </w:pPr>
            <w:r>
              <w:rPr>
                <w:rFonts w:ascii="Arial" w:hAnsi="Arial"/>
                <w:sz w:val="18"/>
                <w:lang w:val="en-GB" w:eastAsia="en-US"/>
              </w:rPr>
              <w:t>{{60 kHz}, {120 kHz}, {60, 120 kHz}}</w:t>
            </w:r>
          </w:p>
          <w:p w:rsidR="000D4EAD" w:rsidRDefault="002D275B">
            <w:pPr>
              <w:keepNext/>
              <w:keepLines/>
              <w:spacing w:before="120" w:after="120"/>
              <w:rPr>
                <w:rFonts w:ascii="Arial" w:hAnsi="Arial"/>
                <w:sz w:val="18"/>
                <w:lang w:val="en-GB" w:eastAsia="en-US"/>
              </w:rPr>
            </w:pPr>
            <w:r>
              <w:rPr>
                <w:rFonts w:ascii="Arial" w:hAnsi="Arial"/>
                <w:sz w:val="18"/>
                <w:lang w:val="en-GB" w:eastAsia="en-US"/>
              </w:rPr>
              <w:t>FFS: whether to mandate an SCS.</w:t>
            </w:r>
          </w:p>
        </w:tc>
        <w:tc>
          <w:tcPr>
            <w:tcW w:w="10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Optional with capability signalling</w:t>
            </w:r>
          </w:p>
          <w:p w:rsidR="000D4EAD" w:rsidRDefault="002D275B">
            <w:pPr>
              <w:keepNext/>
              <w:keepLines/>
              <w:spacing w:before="120" w:after="120"/>
              <w:rPr>
                <w:rFonts w:ascii="Arial" w:hAnsi="Arial"/>
                <w:sz w:val="18"/>
                <w:lang w:val="en-GB" w:eastAsia="ja-JP"/>
              </w:rPr>
            </w:pPr>
            <w:r>
              <w:rPr>
                <w:rFonts w:ascii="Arial" w:hAnsi="Arial"/>
                <w:sz w:val="18"/>
                <w:lang w:val="en-GB" w:eastAsia="ja-JP"/>
              </w:rPr>
              <w:t>For UE supports NR sidelink in licensed spectrum where gNB is defined, UE must indicate this FG is supported.</w:t>
            </w:r>
          </w:p>
        </w:tc>
      </w:tr>
      <w:tr w:rsidR="000D4EAD">
        <w:trPr>
          <w:trHeight w:val="20"/>
        </w:trPr>
        <w:tc>
          <w:tcPr>
            <w:tcW w:w="630" w:type="dxa"/>
            <w:vMerge/>
            <w:tcBorders>
              <w:top w:val="single" w:sz="4" w:space="0" w:color="auto"/>
              <w:left w:val="single" w:sz="4" w:space="0" w:color="auto"/>
              <w:bottom w:val="single" w:sz="4" w:space="0" w:color="auto"/>
              <w:right w:val="single" w:sz="4" w:space="0" w:color="auto"/>
            </w:tcBorders>
            <w:vAlign w:val="center"/>
          </w:tcPr>
          <w:p w:rsidR="000D4EAD" w:rsidRDefault="000D4EAD">
            <w:pPr>
              <w:spacing w:beforeLines="0" w:afterLines="0"/>
              <w:jc w:val="left"/>
              <w:rPr>
                <w:rFonts w:eastAsia="MS Gothic"/>
                <w:kern w:val="0"/>
                <w:sz w:val="24"/>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15-3</w:t>
            </w:r>
          </w:p>
        </w:tc>
        <w:tc>
          <w:tcPr>
            <w:tcW w:w="10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Transmitting NR sidelink mode 2 configured by [NR Uu or] preconfiguration</w:t>
            </w:r>
          </w:p>
        </w:tc>
        <w:tc>
          <w:tcPr>
            <w:tcW w:w="243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1) UE can transmit PSCCH/PSSCH using NR sidelink mode 2 configured by [NR Uu or] preconfiguration. Up to [B] sidelink processes are supported.</w:t>
            </w:r>
          </w:p>
          <w:p w:rsidR="000D4EAD" w:rsidRDefault="002D275B">
            <w:pPr>
              <w:keepNext/>
              <w:keepLines/>
              <w:spacing w:before="120" w:after="120"/>
              <w:rPr>
                <w:rFonts w:ascii="Arial" w:hAnsi="Arial"/>
                <w:sz w:val="18"/>
                <w:lang w:val="en-GB" w:eastAsia="en-US"/>
              </w:rPr>
            </w:pPr>
            <w:r>
              <w:rPr>
                <w:rFonts w:ascii="Arial" w:hAnsi="Arial"/>
                <w:sz w:val="18"/>
                <w:lang w:val="en-GB" w:eastAsia="en-US"/>
              </w:rPr>
              <w:t>2) UE supports transmission based on the normal 64QAM MCS table.</w:t>
            </w:r>
          </w:p>
          <w:p w:rsidR="000D4EAD" w:rsidRDefault="002D275B">
            <w:pPr>
              <w:keepNext/>
              <w:keepLines/>
              <w:spacing w:before="120" w:after="120"/>
              <w:rPr>
                <w:rFonts w:ascii="Arial" w:hAnsi="Arial"/>
                <w:sz w:val="18"/>
                <w:lang w:val="en-GB" w:eastAsia="en-US"/>
              </w:rPr>
            </w:pPr>
            <w:r>
              <w:rPr>
                <w:rFonts w:ascii="Arial" w:hAnsi="Arial"/>
                <w:sz w:val="18"/>
                <w:lang w:val="en-GB" w:eastAsia="en-US"/>
              </w:rPr>
              <w:t>3) UE supports PT-RS transmission in FR2.</w:t>
            </w:r>
          </w:p>
          <w:p w:rsidR="000D4EAD" w:rsidRDefault="002D275B">
            <w:pPr>
              <w:keepNext/>
              <w:keepLines/>
              <w:spacing w:before="120" w:after="120"/>
              <w:rPr>
                <w:rFonts w:ascii="Arial" w:hAnsi="Arial"/>
                <w:sz w:val="18"/>
                <w:lang w:val="en-GB" w:eastAsia="en-US"/>
              </w:rPr>
            </w:pPr>
            <w:r>
              <w:rPr>
                <w:rFonts w:ascii="Arial" w:hAnsi="Arial"/>
                <w:sz w:val="18"/>
                <w:lang w:val="en-GB" w:eastAsia="en-US"/>
              </w:rPr>
              <w:lastRenderedPageBreak/>
              <w:t>4) UE can perform sensing and resource allocation operations.</w:t>
            </w:r>
          </w:p>
          <w:p w:rsidR="000D4EAD" w:rsidRDefault="000D4EAD">
            <w:pPr>
              <w:keepNext/>
              <w:keepLines/>
              <w:spacing w:before="120" w:after="120"/>
              <w:rPr>
                <w:rFonts w:ascii="Arial" w:hAnsi="Arial"/>
                <w:sz w:val="18"/>
                <w:lang w:val="en-GB" w:eastAsia="en-US"/>
              </w:rPr>
            </w:pPr>
          </w:p>
          <w:p w:rsidR="000D4EAD" w:rsidRDefault="002D275B">
            <w:pPr>
              <w:keepNext/>
              <w:keepLines/>
              <w:spacing w:before="120" w:after="120"/>
              <w:rPr>
                <w:rFonts w:ascii="Arial" w:hAnsi="Arial"/>
                <w:sz w:val="18"/>
                <w:lang w:val="en-GB" w:eastAsia="en-US"/>
              </w:rPr>
            </w:pPr>
            <w:r>
              <w:rPr>
                <w:rFonts w:ascii="Arial" w:hAnsi="Arial"/>
                <w:sz w:val="18"/>
                <w:lang w:val="en-GB" w:eastAsia="en-US"/>
              </w:rPr>
              <w:t>6) UE can transmit using the subcarrier spacing it reports for FG 15-1.</w:t>
            </w:r>
          </w:p>
          <w:p w:rsidR="000D4EAD" w:rsidRDefault="002D275B">
            <w:pPr>
              <w:keepNext/>
              <w:keepLines/>
              <w:spacing w:before="120" w:after="120"/>
              <w:rPr>
                <w:rFonts w:ascii="Arial" w:hAnsi="Arial"/>
                <w:sz w:val="18"/>
                <w:lang w:val="en-GB" w:eastAsia="en-US"/>
              </w:rPr>
            </w:pPr>
            <w:r>
              <w:rPr>
                <w:rFonts w:ascii="Arial" w:hAnsi="Arial"/>
                <w:sz w:val="18"/>
                <w:lang w:val="en-GB" w:eastAsia="en-US"/>
              </w:rPr>
              <w:t>FFS: 7) CP length</w:t>
            </w:r>
          </w:p>
        </w:tc>
        <w:tc>
          <w:tcPr>
            <w:tcW w:w="87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lastRenderedPageBreak/>
              <w:t>15-1</w:t>
            </w:r>
          </w:p>
        </w:tc>
        <w:tc>
          <w:tcPr>
            <w:tcW w:w="70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i/>
                <w:sz w:val="18"/>
                <w:lang w:val="en-GB" w:eastAsia="en-US"/>
              </w:rPr>
            </w:pPr>
            <w:r>
              <w:rPr>
                <w:rFonts w:ascii="Arial" w:eastAsia="Malgun Gothic" w:hAnsi="Arial"/>
                <w:sz w:val="18"/>
                <w:lang w:val="en-GB" w:eastAsia="ko-KR"/>
              </w:rPr>
              <w:t>FFS</w:t>
            </w:r>
          </w:p>
        </w:tc>
        <w:tc>
          <w:tcPr>
            <w:tcW w:w="7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i/>
                <w:sz w:val="18"/>
                <w:lang w:val="en-GB" w:eastAsia="en-US"/>
              </w:rPr>
            </w:pPr>
            <w:r>
              <w:rPr>
                <w:rFonts w:ascii="Arial" w:eastAsia="Malgun Gothic" w:hAnsi="Arial"/>
                <w:sz w:val="18"/>
                <w:lang w:val="en-GB" w:eastAsia="ko-KR"/>
              </w:rPr>
              <w:t>No</w:t>
            </w:r>
          </w:p>
        </w:tc>
        <w:tc>
          <w:tcPr>
            <w:tcW w:w="833"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1164"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Per band</w:t>
            </w:r>
          </w:p>
          <w:p w:rsidR="000D4EAD" w:rsidRDefault="000D4EAD">
            <w:pPr>
              <w:keepNext/>
              <w:keepLines/>
              <w:spacing w:before="120" w:after="120"/>
              <w:rPr>
                <w:rFonts w:ascii="Arial" w:hAnsi="Arial"/>
                <w:sz w:val="18"/>
                <w:lang w:val="en-GB" w:eastAsia="ja-JP"/>
              </w:rPr>
            </w:pPr>
          </w:p>
        </w:tc>
        <w:tc>
          <w:tcPr>
            <w:tcW w:w="63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N.A.</w:t>
            </w:r>
          </w:p>
        </w:tc>
        <w:tc>
          <w:tcPr>
            <w:tcW w:w="60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N.A.</w:t>
            </w:r>
          </w:p>
        </w:tc>
        <w:tc>
          <w:tcPr>
            <w:tcW w:w="71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N.A.</w:t>
            </w:r>
          </w:p>
        </w:tc>
        <w:tc>
          <w:tcPr>
            <w:tcW w:w="21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Note: Random selection in the exceptional pool is supported.</w:t>
            </w:r>
          </w:p>
          <w:p w:rsidR="000D4EAD" w:rsidRDefault="000D4EAD">
            <w:pPr>
              <w:keepNext/>
              <w:keepLines/>
              <w:spacing w:before="120" w:after="120"/>
              <w:rPr>
                <w:rFonts w:ascii="Arial" w:hAnsi="Arial"/>
                <w:sz w:val="18"/>
                <w:lang w:val="en-GB" w:eastAsia="en-US"/>
              </w:rPr>
            </w:pPr>
          </w:p>
          <w:p w:rsidR="000D4EAD" w:rsidRDefault="002D275B">
            <w:pPr>
              <w:keepNext/>
              <w:keepLines/>
              <w:spacing w:before="120" w:after="120"/>
              <w:rPr>
                <w:rFonts w:ascii="Arial" w:hAnsi="Arial"/>
                <w:sz w:val="18"/>
                <w:lang w:val="en-GB" w:eastAsia="en-US"/>
              </w:rPr>
            </w:pPr>
            <w:r>
              <w:rPr>
                <w:rFonts w:ascii="Arial" w:hAnsi="Arial"/>
                <w:sz w:val="18"/>
                <w:lang w:val="en-GB" w:eastAsia="en-US"/>
              </w:rPr>
              <w:t>This is the basic FG for sidelink</w:t>
            </w:r>
            <w:r>
              <w:rPr>
                <w:rFonts w:ascii="Arial" w:hAnsi="Arial" w:hint="eastAsia"/>
                <w:sz w:val="18"/>
              </w:rPr>
              <w:t xml:space="preserve"> </w:t>
            </w:r>
            <w:r>
              <w:rPr>
                <w:rFonts w:ascii="Arial" w:hAnsi="Arial"/>
                <w:sz w:val="18"/>
                <w:lang w:val="en-GB" w:eastAsia="en-US"/>
              </w:rPr>
              <w:t xml:space="preserve"> </w:t>
            </w:r>
            <w:r>
              <w:rPr>
                <w:rFonts w:ascii="Arial" w:hAnsi="Arial"/>
                <w:color w:val="FF0000"/>
                <w:sz w:val="18"/>
                <w:lang w:val="en-GB" w:eastAsia="en-US"/>
              </w:rPr>
              <w:t xml:space="preserve">in </w:t>
            </w:r>
            <w:r>
              <w:rPr>
                <w:rFonts w:ascii="Arial" w:hAnsi="Arial" w:hint="eastAsia"/>
                <w:color w:val="FF0000"/>
                <w:sz w:val="18"/>
              </w:rPr>
              <w:t xml:space="preserve">ITS </w:t>
            </w:r>
            <w:r>
              <w:rPr>
                <w:rFonts w:ascii="Arial" w:hAnsi="Arial"/>
                <w:color w:val="FF0000"/>
                <w:sz w:val="18"/>
                <w:lang w:val="en-GB" w:eastAsia="en-US"/>
              </w:rPr>
              <w:t xml:space="preserve">spectrum where gNB is </w:t>
            </w:r>
            <w:r>
              <w:rPr>
                <w:rFonts w:ascii="Arial" w:hAnsi="Arial" w:hint="eastAsia"/>
                <w:color w:val="FF0000"/>
                <w:sz w:val="18"/>
              </w:rPr>
              <w:t xml:space="preserve">not </w:t>
            </w:r>
            <w:r>
              <w:rPr>
                <w:rFonts w:ascii="Arial" w:hAnsi="Arial"/>
                <w:color w:val="FF0000"/>
                <w:sz w:val="18"/>
                <w:lang w:val="en-GB" w:eastAsia="en-US"/>
              </w:rPr>
              <w:t>defined and optional FG</w:t>
            </w:r>
            <w:r>
              <w:rPr>
                <w:rFonts w:ascii="Arial" w:hAnsi="Arial" w:hint="eastAsia"/>
                <w:color w:val="FF0000"/>
                <w:sz w:val="18"/>
              </w:rPr>
              <w:t xml:space="preserve"> </w:t>
            </w:r>
            <w:r>
              <w:rPr>
                <w:rFonts w:ascii="Arial" w:hAnsi="Arial"/>
                <w:color w:val="FF0000"/>
                <w:sz w:val="18"/>
                <w:lang w:val="en-GB" w:eastAsia="en-US"/>
              </w:rPr>
              <w:t xml:space="preserve">for </w:t>
            </w:r>
            <w:r>
              <w:rPr>
                <w:rFonts w:ascii="Arial" w:hAnsi="Arial" w:hint="eastAsia"/>
                <w:color w:val="FF0000"/>
                <w:sz w:val="18"/>
              </w:rPr>
              <w:t>licensed</w:t>
            </w:r>
            <w:r>
              <w:rPr>
                <w:rFonts w:ascii="Arial" w:hAnsi="Arial"/>
                <w:color w:val="FF0000"/>
                <w:sz w:val="18"/>
                <w:lang w:val="en-GB" w:eastAsia="en-US"/>
              </w:rPr>
              <w:t xml:space="preserve"> spectrum where gNB is defined</w:t>
            </w:r>
            <w:r>
              <w:rPr>
                <w:rFonts w:ascii="Arial" w:hAnsi="Arial"/>
                <w:sz w:val="18"/>
                <w:lang w:val="en-GB" w:eastAsia="en-US"/>
              </w:rPr>
              <w:t>.</w:t>
            </w:r>
          </w:p>
          <w:p w:rsidR="000D4EAD" w:rsidRDefault="002D275B">
            <w:pPr>
              <w:keepNext/>
              <w:keepLines/>
              <w:spacing w:before="120" w:after="120"/>
              <w:rPr>
                <w:rFonts w:ascii="Arial" w:hAnsi="Arial"/>
                <w:sz w:val="18"/>
                <w:lang w:val="en-GB" w:eastAsia="en-US"/>
              </w:rPr>
            </w:pPr>
            <w:r>
              <w:rPr>
                <w:rFonts w:ascii="Arial" w:hAnsi="Arial"/>
                <w:sz w:val="18"/>
                <w:lang w:val="en-GB" w:eastAsia="en-US"/>
              </w:rPr>
              <w:t>.</w:t>
            </w:r>
          </w:p>
        </w:tc>
        <w:tc>
          <w:tcPr>
            <w:tcW w:w="10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Optional with capability signalling</w:t>
            </w:r>
          </w:p>
          <w:p w:rsidR="000D4EAD" w:rsidRDefault="002D275B">
            <w:pPr>
              <w:keepNext/>
              <w:keepLines/>
              <w:spacing w:before="120" w:after="120"/>
              <w:rPr>
                <w:rFonts w:ascii="Arial" w:hAnsi="Arial"/>
                <w:sz w:val="18"/>
                <w:lang w:val="en-GB" w:eastAsia="ja-JP"/>
              </w:rPr>
            </w:pPr>
            <w:r>
              <w:rPr>
                <w:rFonts w:ascii="Arial" w:hAnsi="Arial"/>
                <w:sz w:val="18"/>
                <w:lang w:val="en-GB" w:eastAsia="ja-JP"/>
              </w:rPr>
              <w:t>For UE supports NR sidelink</w:t>
            </w:r>
            <w:r>
              <w:rPr>
                <w:rFonts w:ascii="Arial" w:hAnsi="Arial" w:hint="eastAsia"/>
                <w:sz w:val="18"/>
              </w:rPr>
              <w:t xml:space="preserve"> </w:t>
            </w:r>
            <w:r>
              <w:rPr>
                <w:rFonts w:ascii="Arial" w:hAnsi="Arial" w:hint="eastAsia"/>
                <w:color w:val="FF0000"/>
                <w:sz w:val="18"/>
                <w:lang w:val="en-GB" w:eastAsia="ja-JP"/>
              </w:rPr>
              <w:t xml:space="preserve">for UE supports NR sidelink in ITS </w:t>
            </w:r>
            <w:r>
              <w:rPr>
                <w:rFonts w:ascii="Arial" w:hAnsi="Arial" w:hint="eastAsia"/>
                <w:color w:val="FF0000"/>
                <w:sz w:val="18"/>
                <w:lang w:val="en-GB" w:eastAsia="ja-JP"/>
              </w:rPr>
              <w:lastRenderedPageBreak/>
              <w:t>spectrum where gNB is not defined</w:t>
            </w:r>
            <w:r>
              <w:rPr>
                <w:rFonts w:ascii="Arial" w:hAnsi="Arial" w:hint="eastAsia"/>
                <w:sz w:val="18"/>
                <w:lang w:val="en-GB" w:eastAsia="ja-JP"/>
              </w:rPr>
              <w:t xml:space="preserve">, </w:t>
            </w:r>
            <w:r>
              <w:rPr>
                <w:rFonts w:ascii="Arial" w:hAnsi="Arial" w:hint="eastAsia"/>
                <w:color w:val="FF0000"/>
                <w:sz w:val="18"/>
                <w:lang w:val="en-GB" w:eastAsia="ja-JP"/>
              </w:rPr>
              <w:t>UE must indicate this FG is supported</w:t>
            </w:r>
            <w:r>
              <w:rPr>
                <w:rFonts w:ascii="Arial" w:hAnsi="Arial"/>
                <w:color w:val="FF0000"/>
                <w:sz w:val="18"/>
                <w:lang w:val="en-GB" w:eastAsia="ja-JP"/>
              </w:rPr>
              <w:t>,</w:t>
            </w:r>
            <w:r>
              <w:rPr>
                <w:rFonts w:ascii="Arial" w:hAnsi="Arial"/>
                <w:sz w:val="18"/>
                <w:lang w:val="en-GB" w:eastAsia="ja-JP"/>
              </w:rPr>
              <w:t xml:space="preserve"> UE must indicate this FG is supported.</w:t>
            </w:r>
          </w:p>
        </w:tc>
      </w:tr>
      <w:tr w:rsidR="000D4EAD">
        <w:trPr>
          <w:trHeight w:val="20"/>
        </w:trPr>
        <w:tc>
          <w:tcPr>
            <w:tcW w:w="630" w:type="dxa"/>
            <w:vMerge/>
            <w:tcBorders>
              <w:top w:val="single" w:sz="4" w:space="0" w:color="auto"/>
              <w:left w:val="single" w:sz="4" w:space="0" w:color="auto"/>
              <w:bottom w:val="single" w:sz="4" w:space="0" w:color="auto"/>
              <w:right w:val="single" w:sz="4" w:space="0" w:color="auto"/>
            </w:tcBorders>
            <w:vAlign w:val="center"/>
          </w:tcPr>
          <w:p w:rsidR="000D4EAD" w:rsidRDefault="000D4EAD">
            <w:pPr>
              <w:spacing w:beforeLines="0" w:afterLines="0"/>
              <w:jc w:val="left"/>
              <w:rPr>
                <w:rFonts w:eastAsia="MS Gothic"/>
                <w:kern w:val="0"/>
                <w:sz w:val="24"/>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15-3a</w:t>
            </w:r>
          </w:p>
        </w:tc>
        <w:tc>
          <w:tcPr>
            <w:tcW w:w="10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FFS: Transmitting NR sidelink mode 2 configured by NR Uu</w:t>
            </w:r>
          </w:p>
        </w:tc>
        <w:tc>
          <w:tcPr>
            <w:tcW w:w="243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1) UE can transmit PSCCH/PSSCH using NR sidelink mode 2 configured by NR Uu. Up to [B] sidelink processes are supported.</w:t>
            </w:r>
          </w:p>
          <w:p w:rsidR="000D4EAD" w:rsidRDefault="002D275B">
            <w:pPr>
              <w:keepNext/>
              <w:keepLines/>
              <w:spacing w:before="120" w:after="120"/>
              <w:rPr>
                <w:rFonts w:ascii="Arial" w:hAnsi="Arial"/>
                <w:sz w:val="18"/>
                <w:lang w:val="en-GB" w:eastAsia="en-US"/>
              </w:rPr>
            </w:pPr>
            <w:r>
              <w:rPr>
                <w:rFonts w:ascii="Arial" w:hAnsi="Arial"/>
                <w:sz w:val="18"/>
                <w:lang w:val="en-GB" w:eastAsia="en-US"/>
              </w:rPr>
              <w:t>2) UE supports transmission based on the normal 64QAM MCS table and 256QAM MCS table.</w:t>
            </w:r>
          </w:p>
          <w:p w:rsidR="000D4EAD" w:rsidRDefault="002D275B">
            <w:pPr>
              <w:keepNext/>
              <w:keepLines/>
              <w:spacing w:before="120" w:after="120"/>
              <w:rPr>
                <w:rFonts w:ascii="Arial" w:hAnsi="Arial"/>
                <w:sz w:val="18"/>
                <w:lang w:val="en-GB" w:eastAsia="en-US"/>
              </w:rPr>
            </w:pPr>
            <w:r>
              <w:rPr>
                <w:rFonts w:ascii="Arial" w:hAnsi="Arial"/>
                <w:sz w:val="18"/>
                <w:lang w:val="en-GB" w:eastAsia="en-US"/>
              </w:rPr>
              <w:t>3) UE supports PT-RS transmission in FR2.</w:t>
            </w:r>
          </w:p>
          <w:p w:rsidR="000D4EAD" w:rsidRDefault="002D275B">
            <w:pPr>
              <w:keepNext/>
              <w:keepLines/>
              <w:spacing w:before="120" w:after="120"/>
              <w:rPr>
                <w:rFonts w:ascii="Arial" w:hAnsi="Arial"/>
                <w:sz w:val="18"/>
                <w:lang w:val="en-GB" w:eastAsia="en-US"/>
              </w:rPr>
            </w:pPr>
            <w:r>
              <w:rPr>
                <w:rFonts w:ascii="Arial" w:hAnsi="Arial"/>
                <w:sz w:val="18"/>
                <w:lang w:val="en-GB" w:eastAsia="en-US"/>
              </w:rPr>
              <w:t>4) UE can perform sensing and resource allocation operations.</w:t>
            </w:r>
          </w:p>
          <w:p w:rsidR="000D4EAD" w:rsidRDefault="002D275B">
            <w:pPr>
              <w:keepNext/>
              <w:keepLines/>
              <w:spacing w:before="120" w:after="120"/>
              <w:rPr>
                <w:rFonts w:ascii="Arial" w:hAnsi="Arial"/>
                <w:sz w:val="18"/>
                <w:lang w:val="en-GB" w:eastAsia="en-US"/>
              </w:rPr>
            </w:pPr>
            <w:r>
              <w:rPr>
                <w:rFonts w:ascii="Arial" w:hAnsi="Arial"/>
                <w:sz w:val="18"/>
                <w:lang w:val="en-GB" w:eastAsia="en-US"/>
              </w:rPr>
              <w:t>[5) UE supports rank 1 PSSCH transmissions.]</w:t>
            </w:r>
          </w:p>
          <w:p w:rsidR="000D4EAD" w:rsidRDefault="002D275B">
            <w:pPr>
              <w:keepNext/>
              <w:keepLines/>
              <w:spacing w:before="120" w:after="120"/>
              <w:rPr>
                <w:rFonts w:ascii="Arial" w:hAnsi="Arial"/>
                <w:sz w:val="18"/>
                <w:lang w:val="en-GB" w:eastAsia="en-US"/>
              </w:rPr>
            </w:pPr>
            <w:r>
              <w:rPr>
                <w:rFonts w:ascii="Arial" w:hAnsi="Arial"/>
                <w:sz w:val="18"/>
                <w:lang w:val="en-GB" w:eastAsia="en-US"/>
              </w:rPr>
              <w:t>[6) 30 kHz SCS is supported for FR1.]</w:t>
            </w:r>
          </w:p>
        </w:tc>
        <w:tc>
          <w:tcPr>
            <w:tcW w:w="87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15-1, 15-2</w:t>
            </w:r>
          </w:p>
        </w:tc>
        <w:tc>
          <w:tcPr>
            <w:tcW w:w="706"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72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833"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1164"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636"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60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71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21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Note: Random selection in the exceptional pool is supported.</w:t>
            </w:r>
          </w:p>
        </w:tc>
        <w:tc>
          <w:tcPr>
            <w:tcW w:w="10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Optional with capability signalling</w:t>
            </w:r>
          </w:p>
        </w:tc>
      </w:tr>
      <w:tr w:rsidR="000D4EAD">
        <w:trPr>
          <w:trHeight w:val="20"/>
        </w:trPr>
        <w:tc>
          <w:tcPr>
            <w:tcW w:w="630" w:type="dxa"/>
            <w:vMerge/>
            <w:tcBorders>
              <w:top w:val="single" w:sz="4" w:space="0" w:color="auto"/>
              <w:left w:val="single" w:sz="4" w:space="0" w:color="auto"/>
              <w:bottom w:val="single" w:sz="4" w:space="0" w:color="auto"/>
              <w:right w:val="single" w:sz="4" w:space="0" w:color="auto"/>
            </w:tcBorders>
            <w:vAlign w:val="center"/>
          </w:tcPr>
          <w:p w:rsidR="000D4EAD" w:rsidRDefault="000D4EAD">
            <w:pPr>
              <w:spacing w:beforeLines="0" w:afterLines="0"/>
              <w:jc w:val="left"/>
              <w:rPr>
                <w:rFonts w:eastAsia="MS Gothic"/>
                <w:kern w:val="0"/>
                <w:sz w:val="24"/>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15-4</w:t>
            </w:r>
          </w:p>
        </w:tc>
        <w:tc>
          <w:tcPr>
            <w:tcW w:w="10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trike/>
                <w:sz w:val="18"/>
                <w:highlight w:val="yellow"/>
                <w:lang w:val="en-GB" w:eastAsia="en-US"/>
              </w:rPr>
              <w:t>GNSS and</w:t>
            </w:r>
            <w:r>
              <w:rPr>
                <w:rFonts w:ascii="Arial" w:hAnsi="Arial"/>
                <w:sz w:val="18"/>
                <w:lang w:val="en-GB" w:eastAsia="en-US"/>
              </w:rPr>
              <w:t xml:space="preserve"> S-SSB for NR sidelink</w:t>
            </w:r>
          </w:p>
        </w:tc>
        <w:tc>
          <w:tcPr>
            <w:tcW w:w="243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1) UE can receive S-SSB in NR sidelink if it supports 15-1.</w:t>
            </w:r>
          </w:p>
          <w:p w:rsidR="000D4EAD" w:rsidRDefault="002D275B">
            <w:pPr>
              <w:keepNext/>
              <w:keepLines/>
              <w:spacing w:before="120" w:after="120"/>
              <w:rPr>
                <w:rFonts w:ascii="Arial" w:hAnsi="Arial"/>
                <w:sz w:val="18"/>
                <w:lang w:val="en-GB" w:eastAsia="en-US"/>
              </w:rPr>
            </w:pPr>
            <w:r>
              <w:rPr>
                <w:rFonts w:ascii="Arial" w:hAnsi="Arial"/>
                <w:sz w:val="18"/>
                <w:lang w:val="en-GB" w:eastAsia="en-US"/>
              </w:rPr>
              <w:t>2) UE can transmit S-SSB in NR sidelink if it supports 15-2 or 15-3.</w:t>
            </w:r>
          </w:p>
          <w:p w:rsidR="000D4EAD" w:rsidRDefault="002D275B">
            <w:pPr>
              <w:keepNext/>
              <w:keepLines/>
              <w:spacing w:before="120" w:after="120"/>
              <w:rPr>
                <w:rFonts w:ascii="Arial" w:hAnsi="Arial"/>
                <w:strike/>
                <w:sz w:val="18"/>
                <w:highlight w:val="yellow"/>
                <w:lang w:val="en-GB" w:eastAsia="en-US"/>
              </w:rPr>
            </w:pPr>
            <w:r>
              <w:rPr>
                <w:rFonts w:ascii="Arial" w:hAnsi="Arial"/>
                <w:strike/>
                <w:sz w:val="18"/>
                <w:highlight w:val="yellow"/>
                <w:lang w:val="en-GB" w:eastAsia="en-US"/>
              </w:rPr>
              <w:t xml:space="preserve">3) UE supports GNSS and SyncRef UE as the </w:t>
            </w:r>
            <w:r>
              <w:rPr>
                <w:rFonts w:ascii="Arial" w:hAnsi="Arial"/>
                <w:strike/>
                <w:sz w:val="18"/>
                <w:highlight w:val="yellow"/>
                <w:lang w:val="en-GB" w:eastAsia="en-US"/>
              </w:rPr>
              <w:lastRenderedPageBreak/>
              <w:t>synchronization reference according to the synchronization procedure with sl-SyncPriority set to GNSS and sl-NbAsSync set to false.</w:t>
            </w:r>
          </w:p>
          <w:p w:rsidR="000D4EAD" w:rsidRDefault="000D4EAD">
            <w:pPr>
              <w:keepNext/>
              <w:keepLines/>
              <w:spacing w:before="120" w:after="120"/>
              <w:rPr>
                <w:rFonts w:ascii="Arial" w:hAnsi="Arial"/>
                <w:sz w:val="18"/>
                <w:lang w:val="en-GB" w:eastAsia="en-US"/>
              </w:rPr>
            </w:pPr>
          </w:p>
        </w:tc>
        <w:tc>
          <w:tcPr>
            <w:tcW w:w="87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lastRenderedPageBreak/>
              <w:t>At least one of 15-1, 15-2, 15-3</w:t>
            </w:r>
          </w:p>
        </w:tc>
        <w:tc>
          <w:tcPr>
            <w:tcW w:w="70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i/>
                <w:sz w:val="18"/>
                <w:lang w:val="en-GB" w:eastAsia="en-US"/>
              </w:rPr>
            </w:pPr>
            <w:r>
              <w:rPr>
                <w:rFonts w:ascii="Arial" w:eastAsia="Malgun Gothic" w:hAnsi="Arial"/>
                <w:sz w:val="18"/>
                <w:lang w:val="en-GB" w:eastAsia="ko-KR"/>
              </w:rPr>
              <w:t>Yes</w:t>
            </w:r>
          </w:p>
        </w:tc>
        <w:tc>
          <w:tcPr>
            <w:tcW w:w="7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i/>
                <w:sz w:val="18"/>
                <w:lang w:val="en-GB" w:eastAsia="en-US"/>
              </w:rPr>
            </w:pPr>
            <w:r>
              <w:rPr>
                <w:rFonts w:ascii="Arial" w:eastAsia="Malgun Gothic" w:hAnsi="Arial"/>
                <w:sz w:val="18"/>
                <w:lang w:val="en-GB" w:eastAsia="ko-KR"/>
              </w:rPr>
              <w:t>No</w:t>
            </w:r>
          </w:p>
        </w:tc>
        <w:tc>
          <w:tcPr>
            <w:tcW w:w="833"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1164"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Per band</w:t>
            </w:r>
          </w:p>
        </w:tc>
        <w:tc>
          <w:tcPr>
            <w:tcW w:w="63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N.A.</w:t>
            </w:r>
          </w:p>
        </w:tc>
        <w:tc>
          <w:tcPr>
            <w:tcW w:w="60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N.A.</w:t>
            </w:r>
          </w:p>
        </w:tc>
        <w:tc>
          <w:tcPr>
            <w:tcW w:w="71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N.A.</w:t>
            </w:r>
          </w:p>
        </w:tc>
        <w:tc>
          <w:tcPr>
            <w:tcW w:w="21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This is the basic FG for sidelink.</w:t>
            </w:r>
          </w:p>
        </w:tc>
        <w:tc>
          <w:tcPr>
            <w:tcW w:w="10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Optional with capability signalling</w:t>
            </w:r>
          </w:p>
          <w:p w:rsidR="000D4EAD" w:rsidRDefault="002D275B">
            <w:pPr>
              <w:keepNext/>
              <w:keepLines/>
              <w:spacing w:before="120" w:after="120"/>
              <w:rPr>
                <w:rFonts w:ascii="Arial" w:hAnsi="Arial"/>
                <w:sz w:val="18"/>
                <w:lang w:val="en-GB" w:eastAsia="ja-JP"/>
              </w:rPr>
            </w:pPr>
            <w:r>
              <w:rPr>
                <w:rFonts w:ascii="Arial" w:hAnsi="Arial"/>
                <w:sz w:val="18"/>
                <w:lang w:val="en-GB" w:eastAsia="ja-JP"/>
              </w:rPr>
              <w:t xml:space="preserve">For UE supports NR sidelink, </w:t>
            </w:r>
            <w:r>
              <w:rPr>
                <w:rFonts w:ascii="Arial" w:hAnsi="Arial"/>
                <w:sz w:val="18"/>
                <w:lang w:val="en-GB" w:eastAsia="ja-JP"/>
              </w:rPr>
              <w:lastRenderedPageBreak/>
              <w:t>UE must indicate this FG is supported.</w:t>
            </w:r>
          </w:p>
        </w:tc>
      </w:tr>
      <w:tr w:rsidR="000D4EAD">
        <w:trPr>
          <w:trHeight w:val="20"/>
        </w:trPr>
        <w:tc>
          <w:tcPr>
            <w:tcW w:w="630" w:type="dxa"/>
            <w:vMerge/>
            <w:tcBorders>
              <w:top w:val="single" w:sz="4" w:space="0" w:color="auto"/>
              <w:left w:val="single" w:sz="4" w:space="0" w:color="auto"/>
              <w:bottom w:val="single" w:sz="4" w:space="0" w:color="auto"/>
              <w:right w:val="single" w:sz="4" w:space="0" w:color="auto"/>
            </w:tcBorders>
            <w:vAlign w:val="center"/>
          </w:tcPr>
          <w:p w:rsidR="000D4EAD" w:rsidRDefault="000D4EAD">
            <w:pPr>
              <w:spacing w:beforeLines="0" w:afterLines="0"/>
              <w:jc w:val="left"/>
              <w:rPr>
                <w:rFonts w:eastAsia="MS Gothic"/>
                <w:kern w:val="0"/>
                <w:sz w:val="24"/>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243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87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706"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72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833"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1164"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636"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60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71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216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102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r>
      <w:tr w:rsidR="000D4EAD">
        <w:trPr>
          <w:trHeight w:val="20"/>
        </w:trPr>
        <w:tc>
          <w:tcPr>
            <w:tcW w:w="630" w:type="dxa"/>
            <w:vMerge/>
            <w:tcBorders>
              <w:top w:val="single" w:sz="4" w:space="0" w:color="auto"/>
              <w:left w:val="single" w:sz="4" w:space="0" w:color="auto"/>
              <w:bottom w:val="single" w:sz="4" w:space="0" w:color="auto"/>
              <w:right w:val="single" w:sz="4" w:space="0" w:color="auto"/>
            </w:tcBorders>
            <w:vAlign w:val="center"/>
          </w:tcPr>
          <w:p w:rsidR="000D4EAD" w:rsidRDefault="000D4EAD">
            <w:pPr>
              <w:spacing w:beforeLines="0" w:afterLines="0"/>
              <w:jc w:val="left"/>
              <w:rPr>
                <w:rFonts w:eastAsia="MS Gothic"/>
                <w:kern w:val="0"/>
                <w:sz w:val="24"/>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15-5</w:t>
            </w:r>
          </w:p>
        </w:tc>
        <w:tc>
          <w:tcPr>
            <w:tcW w:w="10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Sidelink congestion control</w:t>
            </w:r>
          </w:p>
        </w:tc>
        <w:tc>
          <w:tcPr>
            <w:tcW w:w="243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1) UE can report CBR measurement to gNB.</w:t>
            </w:r>
          </w:p>
          <w:p w:rsidR="000D4EAD" w:rsidRDefault="002D275B">
            <w:pPr>
              <w:keepNext/>
              <w:keepLines/>
              <w:spacing w:before="120" w:after="120"/>
              <w:rPr>
                <w:rFonts w:ascii="Arial" w:hAnsi="Arial"/>
                <w:sz w:val="18"/>
                <w:lang w:val="en-GB" w:eastAsia="en-US"/>
              </w:rPr>
            </w:pPr>
            <w:r>
              <w:rPr>
                <w:rFonts w:ascii="Arial" w:hAnsi="Arial"/>
                <w:sz w:val="18"/>
                <w:lang w:val="en-GB" w:eastAsia="en-US"/>
              </w:rPr>
              <w:t>2) UE can adjust its radio parameters based on CBR measurement and CRlimit.</w:t>
            </w:r>
          </w:p>
          <w:p w:rsidR="000D4EAD" w:rsidRDefault="002D275B">
            <w:pPr>
              <w:keepNext/>
              <w:keepLines/>
              <w:spacing w:before="120" w:after="120"/>
              <w:rPr>
                <w:rFonts w:ascii="Arial" w:hAnsi="Arial"/>
                <w:sz w:val="18"/>
                <w:lang w:val="en-GB" w:eastAsia="en-US"/>
              </w:rPr>
            </w:pPr>
            <w:r>
              <w:rPr>
                <w:rFonts w:ascii="Arial" w:hAnsi="Arial"/>
                <w:sz w:val="18"/>
                <w:lang w:val="en-GB" w:eastAsia="en-US"/>
              </w:rPr>
              <w:t>3) UE can process CBR and CR within the time it indicates</w:t>
            </w:r>
          </w:p>
        </w:tc>
        <w:tc>
          <w:tcPr>
            <w:tcW w:w="87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15-1 and at least one of 15-2 and 15-3</w:t>
            </w:r>
          </w:p>
        </w:tc>
        <w:tc>
          <w:tcPr>
            <w:tcW w:w="70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Yes</w:t>
            </w:r>
          </w:p>
        </w:tc>
        <w:tc>
          <w:tcPr>
            <w:tcW w:w="7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i/>
                <w:sz w:val="18"/>
                <w:lang w:val="en-GB" w:eastAsia="en-US"/>
              </w:rPr>
            </w:pPr>
            <w:r>
              <w:rPr>
                <w:rFonts w:ascii="Arial" w:eastAsia="Malgun Gothic" w:hAnsi="Arial"/>
                <w:sz w:val="18"/>
                <w:lang w:val="en-GB" w:eastAsia="ko-KR"/>
              </w:rPr>
              <w:t>No</w:t>
            </w:r>
          </w:p>
        </w:tc>
        <w:tc>
          <w:tcPr>
            <w:tcW w:w="833"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1164"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Per band</w:t>
            </w:r>
          </w:p>
        </w:tc>
        <w:tc>
          <w:tcPr>
            <w:tcW w:w="63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N.A.</w:t>
            </w:r>
          </w:p>
        </w:tc>
        <w:tc>
          <w:tcPr>
            <w:tcW w:w="60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N.A.</w:t>
            </w:r>
          </w:p>
        </w:tc>
        <w:tc>
          <w:tcPr>
            <w:tcW w:w="71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N.A.</w:t>
            </w:r>
          </w:p>
        </w:tc>
        <w:tc>
          <w:tcPr>
            <w:tcW w:w="21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Component-3 candidate value set</w:t>
            </w:r>
          </w:p>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{Congestion process time 1, Congestion process time 2} where</w:t>
            </w:r>
          </w:p>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Congestion process time 1: 2, 2, 4, 8 slots for 15, 30, 60, 120 kHz subcarrier spacing.</w:t>
            </w:r>
          </w:p>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Congestion process time 2: 2, 4, 8, 16 slots for 15, 30, 60, 120 kHz subcarrier spacing</w:t>
            </w:r>
          </w:p>
        </w:tc>
        <w:tc>
          <w:tcPr>
            <w:tcW w:w="10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Optional with capability signalling</w:t>
            </w:r>
          </w:p>
        </w:tc>
      </w:tr>
      <w:tr w:rsidR="000D4EAD">
        <w:trPr>
          <w:trHeight w:val="20"/>
        </w:trPr>
        <w:tc>
          <w:tcPr>
            <w:tcW w:w="630" w:type="dxa"/>
            <w:vMerge/>
            <w:tcBorders>
              <w:top w:val="single" w:sz="4" w:space="0" w:color="auto"/>
              <w:left w:val="single" w:sz="4" w:space="0" w:color="auto"/>
              <w:bottom w:val="single" w:sz="4" w:space="0" w:color="auto"/>
              <w:right w:val="single" w:sz="4" w:space="0" w:color="auto"/>
            </w:tcBorders>
            <w:vAlign w:val="center"/>
          </w:tcPr>
          <w:p w:rsidR="000D4EAD" w:rsidRDefault="000D4EAD">
            <w:pPr>
              <w:spacing w:beforeLines="0" w:afterLines="0"/>
              <w:jc w:val="left"/>
              <w:rPr>
                <w:rFonts w:eastAsia="MS Gothic"/>
                <w:kern w:val="0"/>
                <w:sz w:val="24"/>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15-6</w:t>
            </w:r>
          </w:p>
        </w:tc>
        <w:tc>
          <w:tcPr>
            <w:tcW w:w="10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Short-term time-scale TDM for in-device coexistence</w:t>
            </w:r>
          </w:p>
        </w:tc>
        <w:tc>
          <w:tcPr>
            <w:tcW w:w="243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1) Support prioritization between LTE sidelink transmission/reception and NR sidelink transmission/reception</w:t>
            </w:r>
          </w:p>
        </w:tc>
        <w:tc>
          <w:tcPr>
            <w:tcW w:w="87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At least one of 15-1, 15-2, 15-3</w:t>
            </w:r>
          </w:p>
        </w:tc>
        <w:tc>
          <w:tcPr>
            <w:tcW w:w="70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No</w:t>
            </w:r>
          </w:p>
        </w:tc>
        <w:tc>
          <w:tcPr>
            <w:tcW w:w="7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i/>
                <w:sz w:val="18"/>
                <w:lang w:val="en-GB" w:eastAsia="en-US"/>
              </w:rPr>
            </w:pPr>
            <w:r>
              <w:rPr>
                <w:rFonts w:ascii="Arial" w:eastAsia="Malgun Gothic" w:hAnsi="Arial"/>
                <w:sz w:val="18"/>
                <w:lang w:val="en-GB" w:eastAsia="ko-KR"/>
              </w:rPr>
              <w:t>No</w:t>
            </w:r>
          </w:p>
        </w:tc>
        <w:tc>
          <w:tcPr>
            <w:tcW w:w="833"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1164"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Per band</w:t>
            </w:r>
          </w:p>
        </w:tc>
        <w:tc>
          <w:tcPr>
            <w:tcW w:w="63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N.A.</w:t>
            </w:r>
          </w:p>
        </w:tc>
        <w:tc>
          <w:tcPr>
            <w:tcW w:w="60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N.A.</w:t>
            </w:r>
          </w:p>
        </w:tc>
        <w:tc>
          <w:tcPr>
            <w:tcW w:w="71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N.A.</w:t>
            </w:r>
          </w:p>
        </w:tc>
        <w:tc>
          <w:tcPr>
            <w:tcW w:w="21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FFS whether a set of candicate values need to be defined for the time required for the inter-RAT conflict resolution</w:t>
            </w:r>
          </w:p>
        </w:tc>
        <w:tc>
          <w:tcPr>
            <w:tcW w:w="10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Optional with capability signalling</w:t>
            </w:r>
          </w:p>
        </w:tc>
      </w:tr>
      <w:tr w:rsidR="000D4EAD">
        <w:trPr>
          <w:trHeight w:val="20"/>
        </w:trPr>
        <w:tc>
          <w:tcPr>
            <w:tcW w:w="630" w:type="dxa"/>
            <w:vMerge/>
            <w:tcBorders>
              <w:top w:val="single" w:sz="4" w:space="0" w:color="auto"/>
              <w:left w:val="single" w:sz="4" w:space="0" w:color="auto"/>
              <w:bottom w:val="single" w:sz="4" w:space="0" w:color="auto"/>
              <w:right w:val="single" w:sz="4" w:space="0" w:color="auto"/>
            </w:tcBorders>
            <w:vAlign w:val="center"/>
          </w:tcPr>
          <w:p w:rsidR="000D4EAD" w:rsidRDefault="000D4EAD">
            <w:pPr>
              <w:spacing w:beforeLines="0" w:afterLines="0"/>
              <w:jc w:val="left"/>
              <w:rPr>
                <w:rFonts w:eastAsia="MS Gothic"/>
                <w:kern w:val="0"/>
                <w:sz w:val="24"/>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15-7</w:t>
            </w:r>
          </w:p>
        </w:tc>
        <w:tc>
          <w:tcPr>
            <w:tcW w:w="10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 xml:space="preserve">Transmitting LTE sidelink mode 3 scheduled by NR Uu </w:t>
            </w:r>
          </w:p>
        </w:tc>
        <w:tc>
          <w:tcPr>
            <w:tcW w:w="243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1) UE can be scheduled over NR Uu for LTE sidelink mode 3 transmission..</w:t>
            </w:r>
          </w:p>
          <w:p w:rsidR="000D4EAD" w:rsidRDefault="002D275B">
            <w:pPr>
              <w:keepNext/>
              <w:keepLines/>
              <w:spacing w:before="120" w:after="120"/>
              <w:rPr>
                <w:rFonts w:ascii="Arial" w:hAnsi="Arial"/>
                <w:sz w:val="18"/>
                <w:lang w:val="en-GB" w:eastAsia="en-US"/>
              </w:rPr>
            </w:pPr>
            <w:r>
              <w:rPr>
                <w:rFonts w:ascii="Arial" w:hAnsi="Arial"/>
                <w:sz w:val="18"/>
                <w:lang w:val="en-GB" w:eastAsia="en-US"/>
              </w:rPr>
              <w:t>2) UE reports a value ‘X’ for the minimum value it supports for the additional time indicated in the NR DCI scheduling LTE sidelink mode 3.</w:t>
            </w:r>
          </w:p>
          <w:p w:rsidR="000D4EAD" w:rsidRDefault="002D275B">
            <w:pPr>
              <w:keepNext/>
              <w:keepLines/>
              <w:spacing w:before="120" w:after="120"/>
              <w:rPr>
                <w:rFonts w:ascii="Arial" w:hAnsi="Arial"/>
                <w:sz w:val="18"/>
                <w:lang w:val="en-GB" w:eastAsia="en-US"/>
              </w:rPr>
            </w:pPr>
            <w:r>
              <w:rPr>
                <w:rFonts w:ascii="Arial" w:hAnsi="Arial"/>
                <w:sz w:val="18"/>
                <w:lang w:val="en-GB" w:eastAsia="en-US"/>
              </w:rPr>
              <w:t xml:space="preserve">3) UE can monitor DCI format 3_1 for LTE sidelink </w:t>
            </w:r>
            <w:r>
              <w:rPr>
                <w:rFonts w:ascii="Arial" w:hAnsi="Arial"/>
                <w:sz w:val="18"/>
                <w:lang w:val="en-GB" w:eastAsia="en-US"/>
              </w:rPr>
              <w:lastRenderedPageBreak/>
              <w:t>SPS grant.</w:t>
            </w:r>
          </w:p>
        </w:tc>
        <w:tc>
          <w:tcPr>
            <w:tcW w:w="87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70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i/>
                <w:sz w:val="18"/>
                <w:lang w:val="en-GB" w:eastAsia="en-US"/>
              </w:rPr>
            </w:pPr>
            <w:r>
              <w:rPr>
                <w:rFonts w:ascii="Arial" w:eastAsia="Malgun Gothic" w:hAnsi="Arial"/>
                <w:sz w:val="18"/>
                <w:lang w:val="en-GB" w:eastAsia="ko-KR"/>
              </w:rPr>
              <w:t>Yes</w:t>
            </w:r>
          </w:p>
        </w:tc>
        <w:tc>
          <w:tcPr>
            <w:tcW w:w="7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i/>
                <w:sz w:val="18"/>
                <w:lang w:val="en-GB" w:eastAsia="en-US"/>
              </w:rPr>
            </w:pPr>
            <w:r>
              <w:rPr>
                <w:rFonts w:ascii="Arial" w:eastAsia="Malgun Gothic" w:hAnsi="Arial"/>
                <w:sz w:val="18"/>
                <w:lang w:val="en-GB" w:eastAsia="ko-KR"/>
              </w:rPr>
              <w:t>No</w:t>
            </w:r>
          </w:p>
        </w:tc>
        <w:tc>
          <w:tcPr>
            <w:tcW w:w="833"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1164"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Per band</w:t>
            </w:r>
          </w:p>
        </w:tc>
        <w:tc>
          <w:tcPr>
            <w:tcW w:w="63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N.A.</w:t>
            </w:r>
          </w:p>
        </w:tc>
        <w:tc>
          <w:tcPr>
            <w:tcW w:w="60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N.A.</w:t>
            </w:r>
          </w:p>
        </w:tc>
        <w:tc>
          <w:tcPr>
            <w:tcW w:w="71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N.A.</w:t>
            </w:r>
          </w:p>
        </w:tc>
        <w:tc>
          <w:tcPr>
            <w:tcW w:w="21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 xml:space="preserve">Component-2 candidate value set: </w:t>
            </w:r>
          </w:p>
          <w:p w:rsidR="000D4EAD" w:rsidRDefault="002D275B">
            <w:pPr>
              <w:keepNext/>
              <w:keepLines/>
              <w:spacing w:before="120" w:after="120"/>
              <w:rPr>
                <w:rFonts w:ascii="Arial" w:hAnsi="Arial"/>
                <w:sz w:val="18"/>
                <w:lang w:val="en-GB" w:eastAsia="en-US"/>
              </w:rPr>
            </w:pPr>
            <w:r>
              <w:rPr>
                <w:rFonts w:ascii="Arial" w:hAnsi="Arial"/>
                <w:sz w:val="18"/>
                <w:lang w:val="en-GB" w:eastAsia="en-US"/>
              </w:rPr>
              <w:t>{0ms, 0.25ms, 0.5ms, 0.625ms, 0.75ms, 1ms, 1.25ms, 1.5ms,1.75ms, 2ms, 2.5ms, 3ms, 4ms, 5ms, 6ms, 8ms, 10ms, 20 ms }</w:t>
            </w:r>
          </w:p>
        </w:tc>
        <w:tc>
          <w:tcPr>
            <w:tcW w:w="10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 xml:space="preserve">Optional with capability signalling </w:t>
            </w:r>
          </w:p>
        </w:tc>
      </w:tr>
      <w:tr w:rsidR="000D4EAD">
        <w:trPr>
          <w:trHeight w:val="20"/>
        </w:trPr>
        <w:tc>
          <w:tcPr>
            <w:tcW w:w="630" w:type="dxa"/>
            <w:vMerge/>
            <w:tcBorders>
              <w:top w:val="single" w:sz="4" w:space="0" w:color="auto"/>
              <w:left w:val="single" w:sz="4" w:space="0" w:color="auto"/>
              <w:bottom w:val="single" w:sz="4" w:space="0" w:color="auto"/>
              <w:right w:val="single" w:sz="4" w:space="0" w:color="auto"/>
            </w:tcBorders>
            <w:vAlign w:val="center"/>
          </w:tcPr>
          <w:p w:rsidR="000D4EAD" w:rsidRDefault="000D4EAD">
            <w:pPr>
              <w:spacing w:beforeLines="0" w:afterLines="0"/>
              <w:jc w:val="left"/>
              <w:rPr>
                <w:rFonts w:eastAsia="MS Gothic"/>
                <w:kern w:val="0"/>
                <w:sz w:val="24"/>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106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243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87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706"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i/>
                <w:sz w:val="18"/>
                <w:lang w:val="en-GB" w:eastAsia="en-US"/>
              </w:rPr>
            </w:pPr>
          </w:p>
        </w:tc>
        <w:tc>
          <w:tcPr>
            <w:tcW w:w="72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i/>
                <w:sz w:val="18"/>
                <w:lang w:val="en-GB" w:eastAsia="en-US"/>
              </w:rPr>
            </w:pPr>
          </w:p>
        </w:tc>
        <w:tc>
          <w:tcPr>
            <w:tcW w:w="833"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1164"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636"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60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71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216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102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r>
      <w:tr w:rsidR="000D4EAD">
        <w:trPr>
          <w:trHeight w:val="20"/>
        </w:trPr>
        <w:tc>
          <w:tcPr>
            <w:tcW w:w="630" w:type="dxa"/>
            <w:vMerge/>
            <w:tcBorders>
              <w:top w:val="single" w:sz="4" w:space="0" w:color="auto"/>
              <w:left w:val="single" w:sz="4" w:space="0" w:color="auto"/>
              <w:bottom w:val="single" w:sz="4" w:space="0" w:color="auto"/>
              <w:right w:val="single" w:sz="4" w:space="0" w:color="auto"/>
            </w:tcBorders>
            <w:vAlign w:val="center"/>
          </w:tcPr>
          <w:p w:rsidR="000D4EAD" w:rsidRDefault="000D4EAD">
            <w:pPr>
              <w:spacing w:beforeLines="0" w:afterLines="0"/>
              <w:jc w:val="left"/>
              <w:rPr>
                <w:rFonts w:eastAsia="MS Gothic"/>
                <w:kern w:val="0"/>
                <w:sz w:val="24"/>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15-9</w:t>
            </w:r>
          </w:p>
        </w:tc>
        <w:tc>
          <w:tcPr>
            <w:tcW w:w="10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Transmitting LTE sidelink mode 4 configured by NR Uu or preconfiguration</w:t>
            </w:r>
          </w:p>
        </w:tc>
        <w:tc>
          <w:tcPr>
            <w:tcW w:w="243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1) UE can be configured over NR Uu or preconfiguration for LTE sidelink mode 4 operation..</w:t>
            </w:r>
          </w:p>
        </w:tc>
        <w:tc>
          <w:tcPr>
            <w:tcW w:w="87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70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i/>
                <w:sz w:val="18"/>
                <w:lang w:val="en-GB" w:eastAsia="en-US"/>
              </w:rPr>
            </w:pPr>
            <w:r>
              <w:rPr>
                <w:rFonts w:ascii="Arial" w:eastAsia="Malgun Gothic" w:hAnsi="Arial"/>
                <w:sz w:val="18"/>
                <w:lang w:val="en-GB" w:eastAsia="ko-KR"/>
              </w:rPr>
              <w:t>Yes</w:t>
            </w:r>
          </w:p>
        </w:tc>
        <w:tc>
          <w:tcPr>
            <w:tcW w:w="7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i/>
                <w:sz w:val="18"/>
                <w:lang w:val="en-GB" w:eastAsia="en-US"/>
              </w:rPr>
            </w:pPr>
            <w:r>
              <w:rPr>
                <w:rFonts w:ascii="Arial" w:eastAsia="Malgun Gothic" w:hAnsi="Arial"/>
                <w:sz w:val="18"/>
                <w:lang w:val="en-GB" w:eastAsia="ko-KR"/>
              </w:rPr>
              <w:t>No</w:t>
            </w:r>
          </w:p>
        </w:tc>
        <w:tc>
          <w:tcPr>
            <w:tcW w:w="833"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1164"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Per band</w:t>
            </w:r>
          </w:p>
        </w:tc>
        <w:tc>
          <w:tcPr>
            <w:tcW w:w="63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N.A.</w:t>
            </w:r>
          </w:p>
        </w:tc>
        <w:tc>
          <w:tcPr>
            <w:tcW w:w="60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N.A.</w:t>
            </w:r>
          </w:p>
        </w:tc>
        <w:tc>
          <w:tcPr>
            <w:tcW w:w="71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N.A.</w:t>
            </w:r>
          </w:p>
        </w:tc>
        <w:tc>
          <w:tcPr>
            <w:tcW w:w="216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10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Optional with capability signalling</w:t>
            </w:r>
          </w:p>
        </w:tc>
      </w:tr>
      <w:tr w:rsidR="000D4EAD">
        <w:trPr>
          <w:trHeight w:val="20"/>
        </w:trPr>
        <w:tc>
          <w:tcPr>
            <w:tcW w:w="630" w:type="dxa"/>
            <w:vMerge/>
            <w:tcBorders>
              <w:top w:val="single" w:sz="4" w:space="0" w:color="auto"/>
              <w:left w:val="single" w:sz="4" w:space="0" w:color="auto"/>
              <w:bottom w:val="single" w:sz="4" w:space="0" w:color="auto"/>
              <w:right w:val="single" w:sz="4" w:space="0" w:color="auto"/>
            </w:tcBorders>
            <w:vAlign w:val="center"/>
          </w:tcPr>
          <w:p w:rsidR="000D4EAD" w:rsidRDefault="000D4EAD">
            <w:pPr>
              <w:spacing w:beforeLines="0" w:afterLines="0"/>
              <w:jc w:val="left"/>
              <w:rPr>
                <w:rFonts w:eastAsia="MS Gothic"/>
                <w:kern w:val="0"/>
                <w:sz w:val="24"/>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15-10</w:t>
            </w:r>
          </w:p>
        </w:tc>
        <w:tc>
          <w:tcPr>
            <w:tcW w:w="10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256QAM sidelink transmission</w:t>
            </w:r>
          </w:p>
        </w:tc>
        <w:tc>
          <w:tcPr>
            <w:tcW w:w="243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1) UE can transmit PSSCH with 256QAM in NR sidelink</w:t>
            </w:r>
          </w:p>
        </w:tc>
        <w:tc>
          <w:tcPr>
            <w:tcW w:w="87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At least one of 15-2, 15-3</w:t>
            </w:r>
          </w:p>
        </w:tc>
        <w:tc>
          <w:tcPr>
            <w:tcW w:w="70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Yes</w:t>
            </w:r>
          </w:p>
        </w:tc>
        <w:tc>
          <w:tcPr>
            <w:tcW w:w="7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Yes</w:t>
            </w:r>
          </w:p>
        </w:tc>
        <w:tc>
          <w:tcPr>
            <w:tcW w:w="833"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UE supports QPSK, 16QAM, and 64 QAM for transmission only.</w:t>
            </w:r>
          </w:p>
        </w:tc>
        <w:tc>
          <w:tcPr>
            <w:tcW w:w="1164"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Per band</w:t>
            </w:r>
          </w:p>
        </w:tc>
        <w:tc>
          <w:tcPr>
            <w:tcW w:w="63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N.A.</w:t>
            </w:r>
          </w:p>
        </w:tc>
        <w:tc>
          <w:tcPr>
            <w:tcW w:w="60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N.A.</w:t>
            </w:r>
          </w:p>
        </w:tc>
        <w:tc>
          <w:tcPr>
            <w:tcW w:w="71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N.A.</w:t>
            </w:r>
          </w:p>
        </w:tc>
        <w:tc>
          <w:tcPr>
            <w:tcW w:w="216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10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Optional with capability signalling</w:t>
            </w:r>
          </w:p>
        </w:tc>
      </w:tr>
      <w:tr w:rsidR="000D4EAD">
        <w:trPr>
          <w:trHeight w:val="20"/>
        </w:trPr>
        <w:tc>
          <w:tcPr>
            <w:tcW w:w="630" w:type="dxa"/>
            <w:vMerge/>
            <w:tcBorders>
              <w:top w:val="single" w:sz="4" w:space="0" w:color="auto"/>
              <w:left w:val="single" w:sz="4" w:space="0" w:color="auto"/>
              <w:bottom w:val="single" w:sz="4" w:space="0" w:color="auto"/>
              <w:right w:val="single" w:sz="4" w:space="0" w:color="auto"/>
            </w:tcBorders>
            <w:vAlign w:val="center"/>
          </w:tcPr>
          <w:p w:rsidR="000D4EAD" w:rsidRDefault="000D4EAD">
            <w:pPr>
              <w:spacing w:beforeLines="0" w:afterLines="0"/>
              <w:jc w:val="left"/>
              <w:rPr>
                <w:rFonts w:eastAsia="MS Gothic"/>
                <w:kern w:val="0"/>
                <w:sz w:val="24"/>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15-10a</w:t>
            </w:r>
          </w:p>
        </w:tc>
        <w:tc>
          <w:tcPr>
            <w:tcW w:w="10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FFS: 256QAM sidelink reception</w:t>
            </w:r>
          </w:p>
        </w:tc>
        <w:tc>
          <w:tcPr>
            <w:tcW w:w="243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1) UE can receive PSSCH with 256QAM in NR sidelink</w:t>
            </w:r>
          </w:p>
        </w:tc>
        <w:tc>
          <w:tcPr>
            <w:tcW w:w="87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15-1</w:t>
            </w:r>
          </w:p>
        </w:tc>
        <w:tc>
          <w:tcPr>
            <w:tcW w:w="70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Yes</w:t>
            </w:r>
          </w:p>
        </w:tc>
        <w:tc>
          <w:tcPr>
            <w:tcW w:w="7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Yes</w:t>
            </w:r>
          </w:p>
        </w:tc>
        <w:tc>
          <w:tcPr>
            <w:tcW w:w="833"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UE supports QPSK, 16QAM, and 64 QAM for reception only.</w:t>
            </w:r>
          </w:p>
        </w:tc>
        <w:tc>
          <w:tcPr>
            <w:tcW w:w="1164"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Per band</w:t>
            </w:r>
          </w:p>
        </w:tc>
        <w:tc>
          <w:tcPr>
            <w:tcW w:w="63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N.A.</w:t>
            </w:r>
          </w:p>
        </w:tc>
        <w:tc>
          <w:tcPr>
            <w:tcW w:w="60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N.A.</w:t>
            </w:r>
          </w:p>
        </w:tc>
        <w:tc>
          <w:tcPr>
            <w:tcW w:w="71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N.A.</w:t>
            </w:r>
          </w:p>
        </w:tc>
        <w:tc>
          <w:tcPr>
            <w:tcW w:w="216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10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Optional with capability signalling</w:t>
            </w:r>
          </w:p>
        </w:tc>
      </w:tr>
      <w:tr w:rsidR="000D4EAD">
        <w:trPr>
          <w:trHeight w:val="20"/>
        </w:trPr>
        <w:tc>
          <w:tcPr>
            <w:tcW w:w="630" w:type="dxa"/>
            <w:vMerge/>
            <w:tcBorders>
              <w:top w:val="single" w:sz="4" w:space="0" w:color="auto"/>
              <w:left w:val="single" w:sz="4" w:space="0" w:color="auto"/>
              <w:bottom w:val="single" w:sz="4" w:space="0" w:color="auto"/>
              <w:right w:val="single" w:sz="4" w:space="0" w:color="auto"/>
            </w:tcBorders>
            <w:vAlign w:val="center"/>
          </w:tcPr>
          <w:p w:rsidR="000D4EAD" w:rsidRDefault="000D4EAD">
            <w:pPr>
              <w:spacing w:beforeLines="0" w:afterLines="0"/>
              <w:jc w:val="left"/>
              <w:rPr>
                <w:rFonts w:eastAsia="MS Gothic"/>
                <w:kern w:val="0"/>
                <w:sz w:val="24"/>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15-11</w:t>
            </w:r>
          </w:p>
        </w:tc>
        <w:tc>
          <w:tcPr>
            <w:tcW w:w="10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 xml:space="preserve">PSFCH format 0 </w:t>
            </w:r>
          </w:p>
        </w:tc>
        <w:tc>
          <w:tcPr>
            <w:tcW w:w="243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1) UE can transmit and receive NR PSFCH format 0</w:t>
            </w:r>
          </w:p>
          <w:p w:rsidR="000D4EAD" w:rsidRDefault="002D275B">
            <w:pPr>
              <w:keepNext/>
              <w:keepLines/>
              <w:spacing w:before="120" w:after="120"/>
              <w:rPr>
                <w:rFonts w:ascii="Arial" w:hAnsi="Arial"/>
                <w:sz w:val="18"/>
                <w:lang w:val="en-GB" w:eastAsia="en-US"/>
              </w:rPr>
            </w:pPr>
            <w:r>
              <w:rPr>
                <w:rFonts w:ascii="Arial" w:hAnsi="Arial"/>
                <w:sz w:val="18"/>
                <w:lang w:val="en-GB" w:eastAsia="en-US"/>
              </w:rPr>
              <w:t>2) UE can receive [N] PSFCH(s) in a slot.</w:t>
            </w:r>
          </w:p>
          <w:p w:rsidR="000D4EAD" w:rsidRDefault="002D275B">
            <w:pPr>
              <w:keepNext/>
              <w:keepLines/>
              <w:spacing w:before="120" w:after="120"/>
              <w:rPr>
                <w:rFonts w:ascii="Arial" w:hAnsi="Arial"/>
                <w:sz w:val="18"/>
                <w:lang w:val="en-GB" w:eastAsia="en-US"/>
              </w:rPr>
            </w:pPr>
            <w:r>
              <w:rPr>
                <w:rFonts w:ascii="Arial" w:hAnsi="Arial"/>
                <w:sz w:val="18"/>
                <w:lang w:val="en-GB" w:eastAsia="en-US"/>
              </w:rPr>
              <w:lastRenderedPageBreak/>
              <w:t>3) UE can transmit [M] PSFCH(s) in a slot.</w:t>
            </w:r>
          </w:p>
          <w:p w:rsidR="000D4EAD" w:rsidRDefault="002D275B">
            <w:pPr>
              <w:keepNext/>
              <w:keepLines/>
              <w:spacing w:before="120" w:after="120"/>
              <w:rPr>
                <w:rFonts w:ascii="Arial" w:hAnsi="Arial"/>
                <w:sz w:val="18"/>
                <w:lang w:val="en-GB" w:eastAsia="en-US"/>
              </w:rPr>
            </w:pPr>
            <w:r>
              <w:rPr>
                <w:rFonts w:ascii="Arial" w:hAnsi="Arial"/>
                <w:sz w:val="18"/>
                <w:lang w:val="en-GB" w:eastAsia="en-US"/>
              </w:rPr>
              <w:t>4) UE can report sidelink HARQ-ACK to gNB via PUCCH and PUSCH when it is operating in NR sidelink mode 1.</w:t>
            </w:r>
          </w:p>
        </w:tc>
        <w:tc>
          <w:tcPr>
            <w:tcW w:w="87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lastRenderedPageBreak/>
              <w:t>At least one of 15-1, 15-2, 15-3</w:t>
            </w:r>
          </w:p>
        </w:tc>
        <w:tc>
          <w:tcPr>
            <w:tcW w:w="70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i/>
                <w:sz w:val="18"/>
                <w:lang w:val="en-GB" w:eastAsia="en-US"/>
              </w:rPr>
            </w:pPr>
            <w:r>
              <w:rPr>
                <w:rFonts w:ascii="Arial" w:eastAsia="Malgun Gothic" w:hAnsi="Arial"/>
                <w:sz w:val="18"/>
                <w:lang w:val="en-GB" w:eastAsia="ko-KR"/>
              </w:rPr>
              <w:t>Yes</w:t>
            </w:r>
          </w:p>
        </w:tc>
        <w:tc>
          <w:tcPr>
            <w:tcW w:w="7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i/>
                <w:sz w:val="18"/>
                <w:lang w:val="en-GB" w:eastAsia="en-US"/>
              </w:rPr>
            </w:pPr>
            <w:r>
              <w:rPr>
                <w:rFonts w:ascii="Arial" w:eastAsia="Malgun Gothic" w:hAnsi="Arial"/>
                <w:sz w:val="18"/>
                <w:lang w:val="en-GB" w:eastAsia="ko-KR"/>
              </w:rPr>
              <w:t>Yes</w:t>
            </w:r>
          </w:p>
        </w:tc>
        <w:tc>
          <w:tcPr>
            <w:tcW w:w="833"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1164"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Per band</w:t>
            </w:r>
          </w:p>
        </w:tc>
        <w:tc>
          <w:tcPr>
            <w:tcW w:w="63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N.A.</w:t>
            </w:r>
          </w:p>
        </w:tc>
        <w:tc>
          <w:tcPr>
            <w:tcW w:w="60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N.A.</w:t>
            </w:r>
          </w:p>
        </w:tc>
        <w:tc>
          <w:tcPr>
            <w:tcW w:w="71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N.A.</w:t>
            </w:r>
          </w:p>
        </w:tc>
        <w:tc>
          <w:tcPr>
            <w:tcW w:w="21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This is the basic FG for sidelink.</w:t>
            </w:r>
          </w:p>
        </w:tc>
        <w:tc>
          <w:tcPr>
            <w:tcW w:w="10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Optional with capability signalling</w:t>
            </w:r>
          </w:p>
          <w:p w:rsidR="000D4EAD" w:rsidRDefault="002D275B">
            <w:pPr>
              <w:keepNext/>
              <w:keepLines/>
              <w:spacing w:before="120" w:after="120"/>
              <w:rPr>
                <w:rFonts w:ascii="Arial" w:hAnsi="Arial"/>
                <w:sz w:val="18"/>
                <w:lang w:val="en-GB" w:eastAsia="ja-JP"/>
              </w:rPr>
            </w:pPr>
            <w:r>
              <w:rPr>
                <w:rFonts w:ascii="Arial" w:hAnsi="Arial"/>
                <w:sz w:val="18"/>
                <w:lang w:val="en-GB" w:eastAsia="ja-JP"/>
              </w:rPr>
              <w:t xml:space="preserve">For UE </w:t>
            </w:r>
            <w:r>
              <w:rPr>
                <w:rFonts w:ascii="Arial" w:hAnsi="Arial"/>
                <w:sz w:val="18"/>
                <w:lang w:val="en-GB" w:eastAsia="ja-JP"/>
              </w:rPr>
              <w:lastRenderedPageBreak/>
              <w:t>supports NR sidelink, UE must indicate this FG is supported.</w:t>
            </w:r>
          </w:p>
        </w:tc>
      </w:tr>
      <w:tr w:rsidR="000D4EAD">
        <w:trPr>
          <w:trHeight w:val="20"/>
        </w:trPr>
        <w:tc>
          <w:tcPr>
            <w:tcW w:w="630" w:type="dxa"/>
            <w:vMerge/>
            <w:tcBorders>
              <w:top w:val="single" w:sz="4" w:space="0" w:color="auto"/>
              <w:left w:val="single" w:sz="4" w:space="0" w:color="auto"/>
              <w:bottom w:val="single" w:sz="4" w:space="0" w:color="auto"/>
              <w:right w:val="single" w:sz="4" w:space="0" w:color="auto"/>
            </w:tcBorders>
            <w:vAlign w:val="center"/>
          </w:tcPr>
          <w:p w:rsidR="000D4EAD" w:rsidRDefault="000D4EAD">
            <w:pPr>
              <w:spacing w:beforeLines="0" w:afterLines="0"/>
              <w:jc w:val="left"/>
              <w:rPr>
                <w:rFonts w:eastAsia="MS Gothic"/>
                <w:kern w:val="0"/>
                <w:sz w:val="24"/>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15-12</w:t>
            </w:r>
          </w:p>
        </w:tc>
        <w:tc>
          <w:tcPr>
            <w:tcW w:w="10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Low-spectral efficiency 64QAM MCS table</w:t>
            </w:r>
          </w:p>
        </w:tc>
        <w:tc>
          <w:tcPr>
            <w:tcW w:w="243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1) UE can transmit or receive PSSCH with low-spectral efficiency 64QAM MCS table.</w:t>
            </w:r>
          </w:p>
        </w:tc>
        <w:tc>
          <w:tcPr>
            <w:tcW w:w="87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At least one of 15-1, 15-2, 15-3</w:t>
            </w:r>
          </w:p>
        </w:tc>
        <w:tc>
          <w:tcPr>
            <w:tcW w:w="70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i/>
                <w:sz w:val="18"/>
                <w:lang w:val="en-GB" w:eastAsia="en-US"/>
              </w:rPr>
            </w:pPr>
            <w:r>
              <w:rPr>
                <w:rFonts w:ascii="Arial" w:eastAsia="Malgun Gothic" w:hAnsi="Arial"/>
                <w:sz w:val="18"/>
                <w:lang w:val="en-GB" w:eastAsia="ko-KR"/>
              </w:rPr>
              <w:t>Yes</w:t>
            </w:r>
          </w:p>
        </w:tc>
        <w:tc>
          <w:tcPr>
            <w:tcW w:w="7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i/>
                <w:sz w:val="18"/>
                <w:lang w:val="en-GB" w:eastAsia="en-US"/>
              </w:rPr>
            </w:pPr>
            <w:r>
              <w:rPr>
                <w:rFonts w:ascii="Arial" w:eastAsia="Malgun Gothic" w:hAnsi="Arial"/>
                <w:sz w:val="18"/>
                <w:lang w:val="en-GB" w:eastAsia="ko-KR"/>
              </w:rPr>
              <w:t>Yes</w:t>
            </w:r>
          </w:p>
        </w:tc>
        <w:tc>
          <w:tcPr>
            <w:tcW w:w="833"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en-US"/>
              </w:rPr>
              <w:t>UE supports normal 64QAM MCS table and 256QAM MCS table only.</w:t>
            </w:r>
          </w:p>
        </w:tc>
        <w:tc>
          <w:tcPr>
            <w:tcW w:w="1164"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Per band</w:t>
            </w:r>
          </w:p>
        </w:tc>
        <w:tc>
          <w:tcPr>
            <w:tcW w:w="63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N.A.</w:t>
            </w:r>
          </w:p>
        </w:tc>
        <w:tc>
          <w:tcPr>
            <w:tcW w:w="60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N.A.</w:t>
            </w:r>
          </w:p>
        </w:tc>
        <w:tc>
          <w:tcPr>
            <w:tcW w:w="71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N.A.</w:t>
            </w:r>
          </w:p>
        </w:tc>
        <w:tc>
          <w:tcPr>
            <w:tcW w:w="216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10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Optional with capability signalling</w:t>
            </w:r>
          </w:p>
        </w:tc>
      </w:tr>
      <w:tr w:rsidR="000D4EAD">
        <w:trPr>
          <w:trHeight w:val="20"/>
        </w:trPr>
        <w:tc>
          <w:tcPr>
            <w:tcW w:w="630" w:type="dxa"/>
            <w:vMerge/>
            <w:tcBorders>
              <w:top w:val="single" w:sz="4" w:space="0" w:color="auto"/>
              <w:left w:val="single" w:sz="4" w:space="0" w:color="auto"/>
              <w:bottom w:val="single" w:sz="4" w:space="0" w:color="auto"/>
              <w:right w:val="single" w:sz="4" w:space="0" w:color="auto"/>
            </w:tcBorders>
            <w:vAlign w:val="center"/>
          </w:tcPr>
          <w:p w:rsidR="000D4EAD" w:rsidRDefault="000D4EAD">
            <w:pPr>
              <w:spacing w:beforeLines="0" w:afterLines="0"/>
              <w:jc w:val="left"/>
              <w:rPr>
                <w:rFonts w:eastAsia="MS Gothic"/>
                <w:kern w:val="0"/>
                <w:sz w:val="24"/>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106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243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87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706"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i/>
                <w:sz w:val="18"/>
                <w:lang w:val="en-GB" w:eastAsia="en-US"/>
              </w:rPr>
            </w:pPr>
          </w:p>
        </w:tc>
        <w:tc>
          <w:tcPr>
            <w:tcW w:w="72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i/>
                <w:sz w:val="18"/>
                <w:lang w:val="en-GB" w:eastAsia="en-US"/>
              </w:rPr>
            </w:pPr>
          </w:p>
        </w:tc>
        <w:tc>
          <w:tcPr>
            <w:tcW w:w="833"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1164"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636"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60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71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216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102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r>
      <w:tr w:rsidR="000D4EAD">
        <w:trPr>
          <w:trHeight w:val="20"/>
        </w:trPr>
        <w:tc>
          <w:tcPr>
            <w:tcW w:w="63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15-14</w:t>
            </w:r>
          </w:p>
        </w:tc>
        <w:tc>
          <w:tcPr>
            <w:tcW w:w="10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Sidelink CSI report</w:t>
            </w:r>
          </w:p>
        </w:tc>
        <w:tc>
          <w:tcPr>
            <w:tcW w:w="243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1) UE can transmit and receive sidelink CSI-RS with 1 or 2 antenna port(s).</w:t>
            </w:r>
          </w:p>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2) UE supports RI and CQI feedback on sidelink.</w:t>
            </w:r>
          </w:p>
        </w:tc>
        <w:tc>
          <w:tcPr>
            <w:tcW w:w="87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15-1 and at least one of 15-2 and 15-3</w:t>
            </w:r>
          </w:p>
        </w:tc>
        <w:tc>
          <w:tcPr>
            <w:tcW w:w="70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FFS</w:t>
            </w:r>
          </w:p>
        </w:tc>
        <w:tc>
          <w:tcPr>
            <w:tcW w:w="7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Yes</w:t>
            </w:r>
          </w:p>
        </w:tc>
        <w:tc>
          <w:tcPr>
            <w:tcW w:w="833"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1164"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Per band</w:t>
            </w:r>
          </w:p>
        </w:tc>
        <w:tc>
          <w:tcPr>
            <w:tcW w:w="63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N.A.</w:t>
            </w:r>
          </w:p>
        </w:tc>
        <w:tc>
          <w:tcPr>
            <w:tcW w:w="60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N.A.</w:t>
            </w:r>
          </w:p>
        </w:tc>
        <w:tc>
          <w:tcPr>
            <w:tcW w:w="71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N.A.</w:t>
            </w:r>
          </w:p>
        </w:tc>
        <w:tc>
          <w:tcPr>
            <w:tcW w:w="216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10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Optional with capability signalling.</w:t>
            </w:r>
          </w:p>
        </w:tc>
      </w:tr>
      <w:tr w:rsidR="000D4EAD">
        <w:trPr>
          <w:trHeight w:val="20"/>
        </w:trPr>
        <w:tc>
          <w:tcPr>
            <w:tcW w:w="63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15-15</w:t>
            </w:r>
          </w:p>
        </w:tc>
        <w:tc>
          <w:tcPr>
            <w:tcW w:w="10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eNB type synchronization source for NR sidelink</w:t>
            </w:r>
          </w:p>
        </w:tc>
        <w:tc>
          <w:tcPr>
            <w:tcW w:w="243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1) UE can transmit or receive NR sidelink based on the synchronization to an eNB.</w:t>
            </w:r>
          </w:p>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2) If UE supports 15-4, UE additionally supports eNB, GNSS and SyncRef UE as the synchronization reference according to the synchronization procedure with sl-SyncPriority set to gnbEnb.</w:t>
            </w:r>
          </w:p>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3) If UE supports 15-4, UE additionally supports eNB, GNSS and SyncRef UE as the synchronization reference according to the synchronization procedure with sl-SyncPriority set to GNSS and sl-NbAsSync set to true.</w:t>
            </w:r>
          </w:p>
        </w:tc>
        <w:tc>
          <w:tcPr>
            <w:tcW w:w="87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At least one of 15-1, 15-2, 15-3</w:t>
            </w:r>
          </w:p>
        </w:tc>
        <w:tc>
          <w:tcPr>
            <w:tcW w:w="70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Yes</w:t>
            </w:r>
          </w:p>
        </w:tc>
        <w:tc>
          <w:tcPr>
            <w:tcW w:w="7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No</w:t>
            </w:r>
          </w:p>
        </w:tc>
        <w:tc>
          <w:tcPr>
            <w:tcW w:w="833"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1164"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Per band</w:t>
            </w:r>
          </w:p>
        </w:tc>
        <w:tc>
          <w:tcPr>
            <w:tcW w:w="63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N.A.</w:t>
            </w:r>
          </w:p>
        </w:tc>
        <w:tc>
          <w:tcPr>
            <w:tcW w:w="60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N.A.</w:t>
            </w:r>
          </w:p>
        </w:tc>
        <w:tc>
          <w:tcPr>
            <w:tcW w:w="71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N.A.</w:t>
            </w:r>
          </w:p>
        </w:tc>
        <w:tc>
          <w:tcPr>
            <w:tcW w:w="216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10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Optional with capability signalling.</w:t>
            </w:r>
          </w:p>
        </w:tc>
      </w:tr>
      <w:tr w:rsidR="000D4EAD">
        <w:trPr>
          <w:trHeight w:val="20"/>
        </w:trPr>
        <w:tc>
          <w:tcPr>
            <w:tcW w:w="63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15-15a</w:t>
            </w:r>
          </w:p>
        </w:tc>
        <w:tc>
          <w:tcPr>
            <w:tcW w:w="10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gNB type synchronization source for NR sidelink</w:t>
            </w:r>
          </w:p>
        </w:tc>
        <w:tc>
          <w:tcPr>
            <w:tcW w:w="243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 xml:space="preserve">1) UE can transmit or receive NR sidelink based on the synchronization to a </w:t>
            </w:r>
            <w:r>
              <w:rPr>
                <w:rFonts w:ascii="Arial" w:eastAsia="Malgun Gothic" w:hAnsi="Arial"/>
                <w:strike/>
                <w:sz w:val="18"/>
                <w:highlight w:val="yellow"/>
                <w:lang w:val="en-GB" w:eastAsia="ko-KR"/>
              </w:rPr>
              <w:t>eNB</w:t>
            </w:r>
            <w:r>
              <w:rPr>
                <w:rFonts w:ascii="Arial" w:hAnsi="Arial" w:hint="eastAsia"/>
                <w:color w:val="FF0000"/>
                <w:sz w:val="18"/>
              </w:rPr>
              <w:t xml:space="preserve"> gNB</w:t>
            </w:r>
            <w:r>
              <w:rPr>
                <w:rFonts w:ascii="Arial" w:eastAsia="Malgun Gothic" w:hAnsi="Arial"/>
                <w:sz w:val="18"/>
                <w:lang w:val="en-GB" w:eastAsia="ko-KR"/>
              </w:rPr>
              <w:t>.</w:t>
            </w:r>
          </w:p>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2) If UE supports 15-4, UE additionally supports gNB, GNSS and SyncRef UE as the synchronization reference according to the synchronization procedure with sl-SyncPriority set to gnbEnb.</w:t>
            </w:r>
          </w:p>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 xml:space="preserve">3) If UE supports 15-4, UE </w:t>
            </w:r>
            <w:r>
              <w:rPr>
                <w:rFonts w:ascii="Arial" w:eastAsia="Malgun Gothic" w:hAnsi="Arial"/>
                <w:sz w:val="18"/>
                <w:lang w:val="en-GB" w:eastAsia="ko-KR"/>
              </w:rPr>
              <w:lastRenderedPageBreak/>
              <w:t>additionally supports gNB, GNSS and SyncRef UE as the synchronization reference according to the synchronization procedure with sl-SyncPriority set to GNSS and sl-NbAsSync set to true.</w:t>
            </w:r>
          </w:p>
        </w:tc>
        <w:tc>
          <w:tcPr>
            <w:tcW w:w="87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lastRenderedPageBreak/>
              <w:t>At least one of 15-1, 15-2, 15-3</w:t>
            </w:r>
          </w:p>
        </w:tc>
        <w:tc>
          <w:tcPr>
            <w:tcW w:w="70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Yes</w:t>
            </w:r>
          </w:p>
        </w:tc>
        <w:tc>
          <w:tcPr>
            <w:tcW w:w="7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No</w:t>
            </w:r>
          </w:p>
        </w:tc>
        <w:tc>
          <w:tcPr>
            <w:tcW w:w="833"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1164"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Per band</w:t>
            </w:r>
          </w:p>
        </w:tc>
        <w:tc>
          <w:tcPr>
            <w:tcW w:w="63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N.A.</w:t>
            </w:r>
          </w:p>
        </w:tc>
        <w:tc>
          <w:tcPr>
            <w:tcW w:w="60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N.A.</w:t>
            </w:r>
          </w:p>
        </w:tc>
        <w:tc>
          <w:tcPr>
            <w:tcW w:w="71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N.A.</w:t>
            </w:r>
          </w:p>
        </w:tc>
        <w:tc>
          <w:tcPr>
            <w:tcW w:w="216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10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Optional with capability signalling.</w:t>
            </w:r>
          </w:p>
        </w:tc>
      </w:tr>
      <w:tr w:rsidR="000D4EAD">
        <w:trPr>
          <w:trHeight w:val="20"/>
        </w:trPr>
        <w:tc>
          <w:tcPr>
            <w:tcW w:w="63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color w:val="FF0000"/>
                <w:sz w:val="18"/>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color w:val="FF0000"/>
                <w:sz w:val="18"/>
                <w:lang w:val="en-GB"/>
              </w:rPr>
            </w:pPr>
            <w:r>
              <w:rPr>
                <w:rFonts w:ascii="Arial" w:eastAsia="Malgun Gothic" w:hAnsi="Arial"/>
                <w:color w:val="FF0000"/>
                <w:sz w:val="18"/>
                <w:lang w:val="en-GB" w:eastAsia="ko-KR"/>
              </w:rPr>
              <w:t>15-15</w:t>
            </w:r>
            <w:r>
              <w:rPr>
                <w:rFonts w:ascii="Arial" w:hAnsi="Arial" w:hint="eastAsia"/>
                <w:color w:val="FF0000"/>
                <w:sz w:val="18"/>
              </w:rPr>
              <w:t>b</w:t>
            </w:r>
          </w:p>
        </w:tc>
        <w:tc>
          <w:tcPr>
            <w:tcW w:w="10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color w:val="FF0000"/>
                <w:sz w:val="18"/>
                <w:lang w:val="en-GB" w:eastAsia="ko-KR"/>
              </w:rPr>
            </w:pPr>
            <w:r>
              <w:rPr>
                <w:rFonts w:ascii="Arial" w:hAnsi="Arial" w:hint="eastAsia"/>
                <w:color w:val="FF0000"/>
                <w:sz w:val="18"/>
              </w:rPr>
              <w:t>GNSS</w:t>
            </w:r>
            <w:r>
              <w:rPr>
                <w:rFonts w:ascii="Arial" w:eastAsia="Malgun Gothic" w:hAnsi="Arial"/>
                <w:color w:val="FF0000"/>
                <w:sz w:val="18"/>
                <w:lang w:val="en-GB" w:eastAsia="ko-KR"/>
              </w:rPr>
              <w:t xml:space="preserve"> synchronization source for NR sidelink</w:t>
            </w:r>
          </w:p>
        </w:tc>
        <w:tc>
          <w:tcPr>
            <w:tcW w:w="243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color w:val="FF0000"/>
                <w:sz w:val="18"/>
                <w:lang w:val="en-GB" w:eastAsia="ko-KR"/>
              </w:rPr>
            </w:pPr>
            <w:r>
              <w:rPr>
                <w:rFonts w:ascii="Arial" w:eastAsia="Malgun Gothic" w:hAnsi="Arial"/>
                <w:color w:val="FF0000"/>
                <w:sz w:val="18"/>
                <w:lang w:val="en-GB" w:eastAsia="ko-KR"/>
              </w:rPr>
              <w:t xml:space="preserve">1) UE can transmit or receive NR sidelink based on the synchronization to </w:t>
            </w:r>
            <w:r>
              <w:rPr>
                <w:rFonts w:ascii="Arial" w:hAnsi="Arial" w:hint="eastAsia"/>
                <w:color w:val="FF0000"/>
                <w:sz w:val="18"/>
              </w:rPr>
              <w:t>GNSS</w:t>
            </w:r>
            <w:r>
              <w:rPr>
                <w:rFonts w:ascii="Arial" w:eastAsia="Malgun Gothic" w:hAnsi="Arial"/>
                <w:color w:val="FF0000"/>
                <w:sz w:val="18"/>
                <w:lang w:val="en-GB" w:eastAsia="ko-KR"/>
              </w:rPr>
              <w:t>.</w:t>
            </w:r>
          </w:p>
          <w:p w:rsidR="000D4EAD" w:rsidRDefault="002D275B">
            <w:pPr>
              <w:keepNext/>
              <w:keepLines/>
              <w:spacing w:before="120" w:after="120"/>
              <w:rPr>
                <w:rFonts w:ascii="Arial" w:eastAsia="Malgun Gothic" w:hAnsi="Arial"/>
                <w:color w:val="FF0000"/>
                <w:sz w:val="18"/>
                <w:lang w:val="en-GB" w:eastAsia="ko-KR"/>
              </w:rPr>
            </w:pPr>
            <w:r>
              <w:rPr>
                <w:rFonts w:ascii="Arial" w:eastAsia="Malgun Gothic" w:hAnsi="Arial"/>
                <w:color w:val="FF0000"/>
                <w:sz w:val="18"/>
                <w:lang w:val="en-GB" w:eastAsia="ko-KR"/>
              </w:rPr>
              <w:t xml:space="preserve">2) If UE supports 15-4, UE additionally supports gNB, GNSS and SyncRef UE as the synchronization reference according to the synchronization procedure with sl-SyncPriority set to </w:t>
            </w:r>
            <w:r>
              <w:rPr>
                <w:rFonts w:ascii="Arial" w:hAnsi="Arial" w:hint="eastAsia"/>
                <w:color w:val="FF0000"/>
                <w:sz w:val="18"/>
              </w:rPr>
              <w:t>GNSS</w:t>
            </w:r>
            <w:r>
              <w:rPr>
                <w:rFonts w:ascii="Arial" w:eastAsia="Malgun Gothic" w:hAnsi="Arial"/>
                <w:color w:val="FF0000"/>
                <w:sz w:val="18"/>
                <w:lang w:val="en-GB" w:eastAsia="ko-KR"/>
              </w:rPr>
              <w:t>.</w:t>
            </w:r>
          </w:p>
          <w:p w:rsidR="000D4EAD" w:rsidRDefault="002D275B">
            <w:pPr>
              <w:keepNext/>
              <w:keepLines/>
              <w:spacing w:before="120" w:after="120"/>
              <w:rPr>
                <w:rFonts w:ascii="Arial" w:eastAsia="Malgun Gothic" w:hAnsi="Arial"/>
                <w:color w:val="FF0000"/>
                <w:sz w:val="18"/>
                <w:lang w:val="en-GB" w:eastAsia="ko-KR"/>
              </w:rPr>
            </w:pPr>
            <w:r>
              <w:rPr>
                <w:rFonts w:ascii="Arial" w:eastAsia="Malgun Gothic" w:hAnsi="Arial"/>
                <w:color w:val="FF0000"/>
                <w:sz w:val="18"/>
                <w:lang w:val="en-GB" w:eastAsia="ko-KR"/>
              </w:rPr>
              <w:t>3) If UE supports 15-4, UE additionally supports gNB, GNSS and SyncRef UE as the synchronization reference according to the synchronization procedure with sl-SyncPriority set to GNSS and sl-NbAsSync set to true.</w:t>
            </w:r>
          </w:p>
          <w:p w:rsidR="000D4EAD" w:rsidRDefault="002D275B">
            <w:pPr>
              <w:keepNext/>
              <w:keepLines/>
              <w:spacing w:before="120" w:after="120"/>
              <w:rPr>
                <w:rFonts w:ascii="Arial" w:eastAsia="Malgun Gothic" w:hAnsi="Arial"/>
                <w:color w:val="FF0000"/>
                <w:sz w:val="18"/>
                <w:lang w:val="en-GB" w:eastAsia="ko-KR"/>
              </w:rPr>
            </w:pPr>
            <w:r>
              <w:rPr>
                <w:rFonts w:ascii="Arial" w:hAnsi="Arial" w:hint="eastAsia"/>
                <w:color w:val="FF0000"/>
                <w:sz w:val="18"/>
              </w:rPr>
              <w:t>4</w:t>
            </w:r>
            <w:r>
              <w:rPr>
                <w:rFonts w:ascii="Arial" w:hAnsi="Arial"/>
                <w:color w:val="FF0000"/>
                <w:sz w:val="18"/>
                <w:lang w:val="en-GB" w:eastAsia="en-US"/>
              </w:rPr>
              <w:t xml:space="preserve">) </w:t>
            </w:r>
            <w:r>
              <w:rPr>
                <w:rFonts w:ascii="Arial" w:eastAsia="Malgun Gothic" w:hAnsi="Arial"/>
                <w:color w:val="FF0000"/>
                <w:sz w:val="18"/>
                <w:lang w:val="en-GB" w:eastAsia="ko-KR"/>
              </w:rPr>
              <w:t>If UE supports 15-4, UE additionally</w:t>
            </w:r>
            <w:r>
              <w:rPr>
                <w:rFonts w:ascii="Arial" w:hAnsi="Arial" w:hint="eastAsia"/>
                <w:color w:val="FF0000"/>
                <w:sz w:val="18"/>
              </w:rPr>
              <w:t xml:space="preserve"> </w:t>
            </w:r>
            <w:r>
              <w:rPr>
                <w:rFonts w:ascii="Arial" w:hAnsi="Arial"/>
                <w:color w:val="FF0000"/>
                <w:sz w:val="18"/>
                <w:lang w:val="en-GB" w:eastAsia="en-US"/>
              </w:rPr>
              <w:t>supports GNSS and SyncRef UE as the synchronization reference according to the synchronization procedure with sl-SyncPriority set to GNSS and sl-NbAsSync set to false.</w:t>
            </w:r>
          </w:p>
        </w:tc>
        <w:tc>
          <w:tcPr>
            <w:tcW w:w="87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color w:val="FF0000"/>
                <w:sz w:val="18"/>
                <w:lang w:val="en-GB" w:eastAsia="ko-KR"/>
              </w:rPr>
            </w:pPr>
            <w:r>
              <w:rPr>
                <w:rFonts w:ascii="Arial" w:eastAsia="Malgun Gothic" w:hAnsi="Arial"/>
                <w:color w:val="FF0000"/>
                <w:sz w:val="18"/>
                <w:lang w:val="en-GB" w:eastAsia="ko-KR"/>
              </w:rPr>
              <w:t>At least one of 15-1, 15-2, 15-3</w:t>
            </w:r>
          </w:p>
        </w:tc>
        <w:tc>
          <w:tcPr>
            <w:tcW w:w="70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color w:val="FF0000"/>
                <w:sz w:val="18"/>
                <w:lang w:val="en-GB" w:eastAsia="ko-KR"/>
              </w:rPr>
            </w:pPr>
            <w:r>
              <w:rPr>
                <w:rFonts w:ascii="Arial" w:eastAsia="Malgun Gothic" w:hAnsi="Arial"/>
                <w:color w:val="FF0000"/>
                <w:sz w:val="18"/>
                <w:lang w:val="en-GB" w:eastAsia="ko-KR"/>
              </w:rPr>
              <w:t>Yes</w:t>
            </w:r>
          </w:p>
        </w:tc>
        <w:tc>
          <w:tcPr>
            <w:tcW w:w="7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color w:val="FF0000"/>
                <w:sz w:val="18"/>
                <w:lang w:val="en-GB" w:eastAsia="ko-KR"/>
              </w:rPr>
            </w:pPr>
            <w:r>
              <w:rPr>
                <w:rFonts w:ascii="Arial" w:eastAsia="Malgun Gothic" w:hAnsi="Arial"/>
                <w:color w:val="FF0000"/>
                <w:sz w:val="18"/>
                <w:lang w:val="en-GB" w:eastAsia="ko-KR"/>
              </w:rPr>
              <w:t>No</w:t>
            </w:r>
          </w:p>
        </w:tc>
        <w:tc>
          <w:tcPr>
            <w:tcW w:w="833"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color w:val="FF0000"/>
                <w:sz w:val="18"/>
                <w:lang w:val="en-GB" w:eastAsia="ja-JP"/>
              </w:rPr>
            </w:pPr>
          </w:p>
        </w:tc>
        <w:tc>
          <w:tcPr>
            <w:tcW w:w="1164"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color w:val="FF0000"/>
                <w:sz w:val="18"/>
                <w:lang w:val="en-GB" w:eastAsia="ko-KR"/>
              </w:rPr>
            </w:pPr>
            <w:r>
              <w:rPr>
                <w:rFonts w:ascii="Arial" w:eastAsia="Malgun Gothic" w:hAnsi="Arial"/>
                <w:color w:val="FF0000"/>
                <w:sz w:val="18"/>
                <w:lang w:val="en-GB" w:eastAsia="ko-KR"/>
              </w:rPr>
              <w:t>Per band</w:t>
            </w:r>
          </w:p>
        </w:tc>
        <w:tc>
          <w:tcPr>
            <w:tcW w:w="63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color w:val="FF0000"/>
                <w:sz w:val="18"/>
                <w:lang w:val="en-GB" w:eastAsia="ko-KR"/>
              </w:rPr>
            </w:pPr>
            <w:r>
              <w:rPr>
                <w:rFonts w:ascii="Arial" w:eastAsia="Malgun Gothic" w:hAnsi="Arial"/>
                <w:color w:val="FF0000"/>
                <w:sz w:val="18"/>
                <w:lang w:val="en-GB" w:eastAsia="ko-KR"/>
              </w:rPr>
              <w:t>N.A.</w:t>
            </w:r>
          </w:p>
        </w:tc>
        <w:tc>
          <w:tcPr>
            <w:tcW w:w="60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color w:val="FF0000"/>
                <w:sz w:val="18"/>
                <w:lang w:val="en-GB" w:eastAsia="ko-KR"/>
              </w:rPr>
            </w:pPr>
            <w:r>
              <w:rPr>
                <w:rFonts w:ascii="Arial" w:eastAsia="Malgun Gothic" w:hAnsi="Arial"/>
                <w:color w:val="FF0000"/>
                <w:sz w:val="18"/>
                <w:lang w:val="en-GB" w:eastAsia="ko-KR"/>
              </w:rPr>
              <w:t>N.A.</w:t>
            </w:r>
          </w:p>
        </w:tc>
        <w:tc>
          <w:tcPr>
            <w:tcW w:w="71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color w:val="FF0000"/>
                <w:sz w:val="18"/>
                <w:lang w:val="en-GB" w:eastAsia="ko-KR"/>
              </w:rPr>
            </w:pPr>
            <w:r>
              <w:rPr>
                <w:rFonts w:ascii="Arial" w:eastAsia="Malgun Gothic" w:hAnsi="Arial"/>
                <w:color w:val="FF0000"/>
                <w:sz w:val="18"/>
                <w:lang w:val="en-GB" w:eastAsia="ko-KR"/>
              </w:rPr>
              <w:t>N.A.</w:t>
            </w:r>
          </w:p>
        </w:tc>
        <w:tc>
          <w:tcPr>
            <w:tcW w:w="216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color w:val="FF0000"/>
                <w:sz w:val="18"/>
                <w:lang w:val="en-GB" w:eastAsia="en-US"/>
              </w:rPr>
            </w:pPr>
          </w:p>
        </w:tc>
        <w:tc>
          <w:tcPr>
            <w:tcW w:w="10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color w:val="FF0000"/>
                <w:sz w:val="18"/>
                <w:lang w:val="en-GB" w:eastAsia="ko-KR"/>
              </w:rPr>
            </w:pPr>
            <w:r>
              <w:rPr>
                <w:rFonts w:ascii="Arial" w:eastAsia="Malgun Gothic" w:hAnsi="Arial"/>
                <w:color w:val="FF0000"/>
                <w:sz w:val="18"/>
                <w:lang w:val="en-GB" w:eastAsia="ko-KR"/>
              </w:rPr>
              <w:t>Optional with capability signalling.</w:t>
            </w:r>
          </w:p>
        </w:tc>
      </w:tr>
      <w:tr w:rsidR="000D4EAD">
        <w:trPr>
          <w:trHeight w:val="20"/>
        </w:trPr>
        <w:tc>
          <w:tcPr>
            <w:tcW w:w="63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15-16</w:t>
            </w:r>
          </w:p>
        </w:tc>
        <w:tc>
          <w:tcPr>
            <w:tcW w:w="10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 xml:space="preserve">Simultaneous transmission of </w:t>
            </w:r>
            <w:r>
              <w:rPr>
                <w:rFonts w:ascii="Arial" w:eastAsia="Malgun Gothic" w:hAnsi="Arial"/>
                <w:sz w:val="18"/>
                <w:lang w:val="en-GB" w:eastAsia="ko-KR"/>
              </w:rPr>
              <w:lastRenderedPageBreak/>
              <w:t>uplink and sidelink</w:t>
            </w:r>
          </w:p>
        </w:tc>
        <w:tc>
          <w:tcPr>
            <w:tcW w:w="243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lastRenderedPageBreak/>
              <w:t xml:space="preserve">1) UE supports simultaneous transmission of NR uplink and NR sidelink (on different </w:t>
            </w:r>
            <w:r>
              <w:rPr>
                <w:rFonts w:ascii="Arial" w:eastAsia="Malgun Gothic" w:hAnsi="Arial"/>
                <w:sz w:val="18"/>
                <w:lang w:val="en-GB" w:eastAsia="ko-KR"/>
              </w:rPr>
              <w:lastRenderedPageBreak/>
              <w:t>carriers) in all bands for which the UE indicated simultaneous sidelink and uplink support in a band combination.</w:t>
            </w:r>
          </w:p>
        </w:tc>
        <w:tc>
          <w:tcPr>
            <w:tcW w:w="87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lastRenderedPageBreak/>
              <w:t xml:space="preserve">At least one of 15-2 and </w:t>
            </w:r>
            <w:r>
              <w:rPr>
                <w:rFonts w:ascii="Arial" w:eastAsia="Malgun Gothic" w:hAnsi="Arial"/>
                <w:sz w:val="18"/>
                <w:lang w:val="en-GB" w:eastAsia="ko-KR"/>
              </w:rPr>
              <w:lastRenderedPageBreak/>
              <w:t>15-3</w:t>
            </w:r>
          </w:p>
        </w:tc>
        <w:tc>
          <w:tcPr>
            <w:tcW w:w="70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lastRenderedPageBreak/>
              <w:t>Yes</w:t>
            </w:r>
          </w:p>
        </w:tc>
        <w:tc>
          <w:tcPr>
            <w:tcW w:w="7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No</w:t>
            </w:r>
          </w:p>
        </w:tc>
        <w:tc>
          <w:tcPr>
            <w:tcW w:w="833"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1164"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Per band combination</w:t>
            </w:r>
          </w:p>
        </w:tc>
        <w:tc>
          <w:tcPr>
            <w:tcW w:w="63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N.A.</w:t>
            </w:r>
          </w:p>
        </w:tc>
        <w:tc>
          <w:tcPr>
            <w:tcW w:w="60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N.A.</w:t>
            </w:r>
          </w:p>
        </w:tc>
        <w:tc>
          <w:tcPr>
            <w:tcW w:w="71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N.A.</w:t>
            </w:r>
          </w:p>
        </w:tc>
        <w:tc>
          <w:tcPr>
            <w:tcW w:w="216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10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 xml:space="preserve">Optional with capability </w:t>
            </w:r>
            <w:r>
              <w:rPr>
                <w:rFonts w:ascii="Arial" w:eastAsia="Malgun Gothic" w:hAnsi="Arial"/>
                <w:sz w:val="18"/>
                <w:lang w:val="en-GB" w:eastAsia="ko-KR"/>
              </w:rPr>
              <w:lastRenderedPageBreak/>
              <w:t>signalling.</w:t>
            </w:r>
          </w:p>
        </w:tc>
      </w:tr>
      <w:tr w:rsidR="000D4EAD">
        <w:trPr>
          <w:trHeight w:val="20"/>
        </w:trPr>
        <w:tc>
          <w:tcPr>
            <w:tcW w:w="63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243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87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706"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72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833"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1164"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636"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60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71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216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102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r>
      <w:tr w:rsidR="000D4EAD">
        <w:trPr>
          <w:trHeight w:val="20"/>
        </w:trPr>
        <w:tc>
          <w:tcPr>
            <w:tcW w:w="63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15-18</w:t>
            </w:r>
          </w:p>
        </w:tc>
        <w:tc>
          <w:tcPr>
            <w:tcW w:w="10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Support of rank 2 transmission</w:t>
            </w:r>
          </w:p>
        </w:tc>
        <w:tc>
          <w:tcPr>
            <w:tcW w:w="243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1) UE additionally supports rank 2 PSSCH transmission</w:t>
            </w:r>
          </w:p>
        </w:tc>
        <w:tc>
          <w:tcPr>
            <w:tcW w:w="87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At least one of 15-2 and 15-3</w:t>
            </w:r>
          </w:p>
        </w:tc>
        <w:tc>
          <w:tcPr>
            <w:tcW w:w="70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FFS</w:t>
            </w:r>
          </w:p>
        </w:tc>
        <w:tc>
          <w:tcPr>
            <w:tcW w:w="7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FFS</w:t>
            </w:r>
          </w:p>
        </w:tc>
        <w:tc>
          <w:tcPr>
            <w:tcW w:w="833"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UE supports rank 1 PSSCH transmission only.</w:t>
            </w:r>
          </w:p>
        </w:tc>
        <w:tc>
          <w:tcPr>
            <w:tcW w:w="1164"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Per band</w:t>
            </w:r>
          </w:p>
        </w:tc>
        <w:tc>
          <w:tcPr>
            <w:tcW w:w="63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en-US"/>
              </w:rPr>
              <w:t xml:space="preserve"> </w:t>
            </w:r>
            <w:r>
              <w:rPr>
                <w:rFonts w:ascii="Arial" w:hAnsi="Arial"/>
                <w:sz w:val="18"/>
                <w:lang w:val="en-GB" w:eastAsia="ja-JP"/>
              </w:rPr>
              <w:t>N.A.</w:t>
            </w:r>
          </w:p>
        </w:tc>
        <w:tc>
          <w:tcPr>
            <w:tcW w:w="60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N.A.</w:t>
            </w:r>
          </w:p>
        </w:tc>
        <w:tc>
          <w:tcPr>
            <w:tcW w:w="71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hAnsi="Arial"/>
                <w:sz w:val="18"/>
                <w:lang w:val="en-GB" w:eastAsia="ja-JP"/>
              </w:rPr>
              <w:t>N.A.</w:t>
            </w:r>
          </w:p>
        </w:tc>
        <w:tc>
          <w:tcPr>
            <w:tcW w:w="216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10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Optional with capability signalling</w:t>
            </w:r>
          </w:p>
        </w:tc>
      </w:tr>
      <w:tr w:rsidR="000D4EAD">
        <w:trPr>
          <w:trHeight w:val="20"/>
        </w:trPr>
        <w:tc>
          <w:tcPr>
            <w:tcW w:w="63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15-19</w:t>
            </w:r>
          </w:p>
        </w:tc>
        <w:tc>
          <w:tcPr>
            <w:tcW w:w="10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FFS: Support of rank 2 reception</w:t>
            </w:r>
          </w:p>
        </w:tc>
        <w:tc>
          <w:tcPr>
            <w:tcW w:w="243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1) UE additionally supports rank 2 PSSCH reception</w:t>
            </w:r>
          </w:p>
        </w:tc>
        <w:tc>
          <w:tcPr>
            <w:tcW w:w="87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15-1</w:t>
            </w:r>
          </w:p>
        </w:tc>
        <w:tc>
          <w:tcPr>
            <w:tcW w:w="70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FFS</w:t>
            </w:r>
          </w:p>
        </w:tc>
        <w:tc>
          <w:tcPr>
            <w:tcW w:w="7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FFS</w:t>
            </w:r>
          </w:p>
        </w:tc>
        <w:tc>
          <w:tcPr>
            <w:tcW w:w="833"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UE supports rank 1 PSSCH reception only.</w:t>
            </w:r>
          </w:p>
        </w:tc>
        <w:tc>
          <w:tcPr>
            <w:tcW w:w="1164"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Per band</w:t>
            </w:r>
          </w:p>
        </w:tc>
        <w:tc>
          <w:tcPr>
            <w:tcW w:w="63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en-US"/>
              </w:rPr>
              <w:t xml:space="preserve"> </w:t>
            </w:r>
            <w:r>
              <w:rPr>
                <w:rFonts w:ascii="Arial" w:hAnsi="Arial"/>
                <w:sz w:val="18"/>
                <w:lang w:val="en-GB" w:eastAsia="ja-JP"/>
              </w:rPr>
              <w:t>N.A.</w:t>
            </w:r>
          </w:p>
        </w:tc>
        <w:tc>
          <w:tcPr>
            <w:tcW w:w="60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N.A.</w:t>
            </w:r>
          </w:p>
        </w:tc>
        <w:tc>
          <w:tcPr>
            <w:tcW w:w="71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hAnsi="Arial"/>
                <w:sz w:val="18"/>
                <w:lang w:val="en-GB" w:eastAsia="ja-JP"/>
              </w:rPr>
              <w:t>N.A.</w:t>
            </w:r>
          </w:p>
        </w:tc>
        <w:tc>
          <w:tcPr>
            <w:tcW w:w="216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10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Optional with capability signalling</w:t>
            </w:r>
          </w:p>
        </w:tc>
      </w:tr>
      <w:tr w:rsidR="000D4EAD">
        <w:trPr>
          <w:trHeight w:val="20"/>
        </w:trPr>
        <w:tc>
          <w:tcPr>
            <w:tcW w:w="63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243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87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706"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72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833"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1164"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636"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60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71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216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102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r>
      <w:tr w:rsidR="000D4EAD">
        <w:trPr>
          <w:trHeight w:val="20"/>
        </w:trPr>
        <w:tc>
          <w:tcPr>
            <w:tcW w:w="63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106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243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87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706"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72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833"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1164"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636"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60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71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c>
          <w:tcPr>
            <w:tcW w:w="216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102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eastAsia="Malgun Gothic" w:hAnsi="Arial"/>
                <w:sz w:val="18"/>
                <w:lang w:val="en-GB" w:eastAsia="ko-KR"/>
              </w:rPr>
            </w:pPr>
          </w:p>
        </w:tc>
      </w:tr>
      <w:tr w:rsidR="000D4EAD">
        <w:trPr>
          <w:trHeight w:val="20"/>
        </w:trPr>
        <w:tc>
          <w:tcPr>
            <w:tcW w:w="63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hAnsi="Arial"/>
                <w:sz w:val="18"/>
                <w:lang w:val="en-GB" w:eastAsia="ja-JP"/>
              </w:rPr>
              <w:t>15-22</w:t>
            </w:r>
          </w:p>
        </w:tc>
        <w:tc>
          <w:tcPr>
            <w:tcW w:w="10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hAnsi="Arial"/>
                <w:sz w:val="18"/>
                <w:lang w:val="en-GB" w:eastAsia="ja-JP"/>
              </w:rPr>
              <w:t>Support of SL slot less than 14 consecutive symbols</w:t>
            </w:r>
          </w:p>
        </w:tc>
        <w:tc>
          <w:tcPr>
            <w:tcW w:w="243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hAnsi="Arial"/>
                <w:sz w:val="18"/>
                <w:lang w:val="en-GB" w:eastAsia="ja-JP"/>
              </w:rPr>
              <w:t>1) UE additionally supports transmission/reception of SL slot configured with 7, 8, 9, 10, 11, 12, 13 consecutive symbols</w:t>
            </w:r>
          </w:p>
        </w:tc>
        <w:tc>
          <w:tcPr>
            <w:tcW w:w="87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At least one of 15-1, 15-2, 15-3</w:t>
            </w:r>
          </w:p>
        </w:tc>
        <w:tc>
          <w:tcPr>
            <w:tcW w:w="70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Yes</w:t>
            </w:r>
          </w:p>
        </w:tc>
        <w:tc>
          <w:tcPr>
            <w:tcW w:w="7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No</w:t>
            </w:r>
          </w:p>
        </w:tc>
        <w:tc>
          <w:tcPr>
            <w:tcW w:w="833"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UE supports SL only in a SL slot configured with 14 consecutive symbols.</w:t>
            </w:r>
          </w:p>
        </w:tc>
        <w:tc>
          <w:tcPr>
            <w:tcW w:w="1164"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hAnsi="Arial"/>
                <w:sz w:val="18"/>
                <w:lang w:val="en-GB" w:eastAsia="ja-JP"/>
              </w:rPr>
              <w:t>Per band</w:t>
            </w:r>
          </w:p>
        </w:tc>
        <w:tc>
          <w:tcPr>
            <w:tcW w:w="63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hAnsi="Arial"/>
                <w:sz w:val="18"/>
                <w:lang w:val="en-GB" w:eastAsia="en-US"/>
              </w:rPr>
              <w:t xml:space="preserve"> </w:t>
            </w:r>
            <w:r>
              <w:rPr>
                <w:rFonts w:ascii="Arial" w:hAnsi="Arial"/>
                <w:sz w:val="18"/>
                <w:lang w:val="en-GB" w:eastAsia="ja-JP"/>
              </w:rPr>
              <w:t>N.A.</w:t>
            </w:r>
          </w:p>
        </w:tc>
        <w:tc>
          <w:tcPr>
            <w:tcW w:w="60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hAnsi="Arial"/>
                <w:sz w:val="18"/>
                <w:lang w:val="en-GB" w:eastAsia="ja-JP"/>
              </w:rPr>
              <w:t>N/A</w:t>
            </w:r>
          </w:p>
        </w:tc>
        <w:tc>
          <w:tcPr>
            <w:tcW w:w="71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hAnsi="Arial"/>
                <w:sz w:val="18"/>
                <w:lang w:val="en-GB" w:eastAsia="ja-JP"/>
              </w:rPr>
              <w:t>N.A.</w:t>
            </w:r>
          </w:p>
        </w:tc>
        <w:tc>
          <w:tcPr>
            <w:tcW w:w="216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10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hAnsi="Arial"/>
                <w:sz w:val="18"/>
                <w:lang w:val="en-GB" w:eastAsia="ja-JP"/>
              </w:rPr>
              <w:t>Optional with capability signalling</w:t>
            </w:r>
          </w:p>
        </w:tc>
      </w:tr>
      <w:tr w:rsidR="000D4EAD">
        <w:trPr>
          <w:trHeight w:val="20"/>
        </w:trPr>
        <w:tc>
          <w:tcPr>
            <w:tcW w:w="63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15-23</w:t>
            </w:r>
          </w:p>
        </w:tc>
        <w:tc>
          <w:tcPr>
            <w:tcW w:w="10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FFS: Support of open loop SL power control and RSRP report</w:t>
            </w:r>
          </w:p>
        </w:tc>
        <w:tc>
          <w:tcPr>
            <w:tcW w:w="243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[1) Support sidelink pathloss based open loop power control and RSRP report in case of unicast]</w:t>
            </w:r>
          </w:p>
        </w:tc>
        <w:tc>
          <w:tcPr>
            <w:tcW w:w="87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FFS</w:t>
            </w:r>
          </w:p>
        </w:tc>
        <w:tc>
          <w:tcPr>
            <w:tcW w:w="70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FFS</w:t>
            </w:r>
          </w:p>
        </w:tc>
        <w:tc>
          <w:tcPr>
            <w:tcW w:w="7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Yes</w:t>
            </w:r>
          </w:p>
        </w:tc>
        <w:tc>
          <w:tcPr>
            <w:tcW w:w="833"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1164"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Per band</w:t>
            </w:r>
          </w:p>
        </w:tc>
        <w:tc>
          <w:tcPr>
            <w:tcW w:w="63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en-US"/>
              </w:rPr>
              <w:t xml:space="preserve"> </w:t>
            </w:r>
            <w:r>
              <w:rPr>
                <w:rFonts w:ascii="Arial" w:hAnsi="Arial"/>
                <w:sz w:val="18"/>
                <w:lang w:val="en-GB" w:eastAsia="ja-JP"/>
              </w:rPr>
              <w:t>N.A.</w:t>
            </w:r>
          </w:p>
        </w:tc>
        <w:tc>
          <w:tcPr>
            <w:tcW w:w="60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N/A</w:t>
            </w:r>
          </w:p>
        </w:tc>
        <w:tc>
          <w:tcPr>
            <w:tcW w:w="71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hAnsi="Arial"/>
                <w:sz w:val="18"/>
                <w:lang w:val="en-GB" w:eastAsia="ja-JP"/>
              </w:rPr>
              <w:t>N.A.</w:t>
            </w:r>
          </w:p>
        </w:tc>
        <w:tc>
          <w:tcPr>
            <w:tcW w:w="2167"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en-US"/>
              </w:rPr>
            </w:pPr>
          </w:p>
        </w:tc>
        <w:tc>
          <w:tcPr>
            <w:tcW w:w="10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Optional with capability signalling</w:t>
            </w:r>
          </w:p>
        </w:tc>
      </w:tr>
      <w:tr w:rsidR="000D4EAD">
        <w:trPr>
          <w:trHeight w:val="20"/>
        </w:trPr>
        <w:tc>
          <w:tcPr>
            <w:tcW w:w="630" w:type="dxa"/>
            <w:tcBorders>
              <w:top w:val="single" w:sz="4" w:space="0" w:color="auto"/>
              <w:left w:val="single" w:sz="4" w:space="0" w:color="auto"/>
              <w:bottom w:val="single" w:sz="4" w:space="0" w:color="auto"/>
              <w:right w:val="single" w:sz="4" w:space="0" w:color="auto"/>
            </w:tcBorders>
          </w:tcPr>
          <w:p w:rsidR="000D4EAD" w:rsidRDefault="000D4EAD">
            <w:pPr>
              <w:keepNext/>
              <w:keepLines/>
              <w:spacing w:before="120" w:after="120"/>
              <w:rPr>
                <w:rFonts w:ascii="Arial" w:hAnsi="Arial"/>
                <w:sz w:val="18"/>
                <w:lang w:val="en-GB" w:eastAsia="ja-JP"/>
              </w:rPr>
            </w:pPr>
          </w:p>
        </w:tc>
        <w:tc>
          <w:tcPr>
            <w:tcW w:w="55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15-24</w:t>
            </w:r>
          </w:p>
        </w:tc>
        <w:tc>
          <w:tcPr>
            <w:tcW w:w="10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FFS: Support of multiple synchronization references</w:t>
            </w:r>
          </w:p>
        </w:tc>
        <w:tc>
          <w:tcPr>
            <w:tcW w:w="243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[1) UE can support sidelink reception using up to A synchronziaion references in a carrier/BWP.]</w:t>
            </w:r>
          </w:p>
        </w:tc>
        <w:tc>
          <w:tcPr>
            <w:tcW w:w="87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At least one of 15-1, 15-2, 15-3</w:t>
            </w:r>
          </w:p>
        </w:tc>
        <w:tc>
          <w:tcPr>
            <w:tcW w:w="70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Yes</w:t>
            </w:r>
          </w:p>
        </w:tc>
        <w:tc>
          <w:tcPr>
            <w:tcW w:w="7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No</w:t>
            </w:r>
          </w:p>
        </w:tc>
        <w:tc>
          <w:tcPr>
            <w:tcW w:w="833"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UE supports only a single synchronization reference in a carrier/BWP.</w:t>
            </w:r>
          </w:p>
        </w:tc>
        <w:tc>
          <w:tcPr>
            <w:tcW w:w="1164"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eastAsia="Malgun Gothic" w:hAnsi="Arial"/>
                <w:sz w:val="18"/>
                <w:lang w:val="en-GB" w:eastAsia="ko-KR"/>
              </w:rPr>
            </w:pPr>
            <w:r>
              <w:rPr>
                <w:rFonts w:ascii="Arial" w:eastAsia="Malgun Gothic" w:hAnsi="Arial"/>
                <w:sz w:val="18"/>
                <w:lang w:val="en-GB" w:eastAsia="ko-KR"/>
              </w:rPr>
              <w:t>Per band</w:t>
            </w:r>
          </w:p>
        </w:tc>
        <w:tc>
          <w:tcPr>
            <w:tcW w:w="636"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eastAsia="Malgun Gothic" w:hAnsi="Arial"/>
                <w:sz w:val="18"/>
                <w:lang w:val="en-GB" w:eastAsia="ko-KR"/>
              </w:rPr>
              <w:t>N.A.</w:t>
            </w:r>
          </w:p>
        </w:tc>
        <w:tc>
          <w:tcPr>
            <w:tcW w:w="600"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eastAsia="Malgun Gothic" w:hAnsi="Arial"/>
                <w:sz w:val="18"/>
                <w:lang w:val="en-GB" w:eastAsia="ko-KR"/>
              </w:rPr>
              <w:t>N.A.</w:t>
            </w:r>
          </w:p>
        </w:tc>
        <w:tc>
          <w:tcPr>
            <w:tcW w:w="71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eastAsia="Malgun Gothic" w:hAnsi="Arial"/>
                <w:sz w:val="18"/>
                <w:lang w:val="en-GB" w:eastAsia="ko-KR"/>
              </w:rPr>
              <w:t>N.A.</w:t>
            </w:r>
          </w:p>
        </w:tc>
        <w:tc>
          <w:tcPr>
            <w:tcW w:w="216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en-US"/>
              </w:rPr>
            </w:pPr>
            <w:r>
              <w:rPr>
                <w:rFonts w:ascii="Arial" w:hAnsi="Arial"/>
                <w:sz w:val="18"/>
                <w:lang w:val="en-GB" w:eastAsia="en-US"/>
              </w:rPr>
              <w:t>Component-1 candidate value set: {value1, value2, …}</w:t>
            </w:r>
          </w:p>
        </w:tc>
        <w:tc>
          <w:tcPr>
            <w:tcW w:w="1027" w:type="dxa"/>
            <w:tcBorders>
              <w:top w:val="single" w:sz="4" w:space="0" w:color="auto"/>
              <w:left w:val="single" w:sz="4" w:space="0" w:color="auto"/>
              <w:bottom w:val="single" w:sz="4" w:space="0" w:color="auto"/>
              <w:right w:val="single" w:sz="4" w:space="0" w:color="auto"/>
            </w:tcBorders>
          </w:tcPr>
          <w:p w:rsidR="000D4EAD" w:rsidRDefault="002D275B">
            <w:pPr>
              <w:keepNext/>
              <w:keepLines/>
              <w:spacing w:before="120" w:after="120"/>
              <w:rPr>
                <w:rFonts w:ascii="Arial" w:hAnsi="Arial"/>
                <w:sz w:val="18"/>
                <w:lang w:val="en-GB" w:eastAsia="ja-JP"/>
              </w:rPr>
            </w:pPr>
            <w:r>
              <w:rPr>
                <w:rFonts w:ascii="Arial" w:hAnsi="Arial"/>
                <w:sz w:val="18"/>
                <w:lang w:val="en-GB" w:eastAsia="ja-JP"/>
              </w:rPr>
              <w:t>Optional with capability signalling</w:t>
            </w:r>
          </w:p>
        </w:tc>
      </w:tr>
      <w:tr w:rsidR="000D4EAD">
        <w:trPr>
          <w:trHeight w:val="20"/>
        </w:trPr>
        <w:tc>
          <w:tcPr>
            <w:tcW w:w="630" w:type="dxa"/>
            <w:tcBorders>
              <w:top w:val="single" w:sz="4" w:space="0" w:color="auto"/>
              <w:left w:val="single" w:sz="4" w:space="0" w:color="auto"/>
              <w:bottom w:val="single" w:sz="4" w:space="0" w:color="auto"/>
              <w:right w:val="single" w:sz="4" w:space="0" w:color="auto"/>
            </w:tcBorders>
            <w:shd w:val="clear" w:color="auto" w:fill="A5A5A5"/>
          </w:tcPr>
          <w:p w:rsidR="000D4EAD" w:rsidRDefault="000D4EAD">
            <w:pPr>
              <w:keepNext/>
              <w:keepLines/>
              <w:spacing w:before="120" w:after="120"/>
              <w:jc w:val="center"/>
              <w:rPr>
                <w:rFonts w:ascii="Arial" w:hAnsi="Arial"/>
                <w:sz w:val="18"/>
                <w:lang w:val="en-GB" w:eastAsia="ja-JP"/>
              </w:rPr>
            </w:pPr>
          </w:p>
        </w:tc>
        <w:tc>
          <w:tcPr>
            <w:tcW w:w="550" w:type="dxa"/>
            <w:tcBorders>
              <w:top w:val="single" w:sz="4" w:space="0" w:color="auto"/>
              <w:left w:val="single" w:sz="4" w:space="0" w:color="auto"/>
              <w:bottom w:val="single" w:sz="4" w:space="0" w:color="auto"/>
              <w:right w:val="single" w:sz="4" w:space="0" w:color="auto"/>
            </w:tcBorders>
            <w:shd w:val="clear" w:color="auto" w:fill="A5A5A5"/>
          </w:tcPr>
          <w:p w:rsidR="000D4EAD" w:rsidRDefault="000D4EAD">
            <w:pPr>
              <w:keepNext/>
              <w:keepLines/>
              <w:spacing w:before="120" w:after="120"/>
              <w:rPr>
                <w:rFonts w:ascii="Arial" w:hAnsi="Arial"/>
                <w:sz w:val="18"/>
                <w:lang w:val="en-GB" w:eastAsia="ja-JP"/>
              </w:rPr>
            </w:pPr>
          </w:p>
        </w:tc>
        <w:tc>
          <w:tcPr>
            <w:tcW w:w="1067" w:type="dxa"/>
            <w:tcBorders>
              <w:top w:val="single" w:sz="4" w:space="0" w:color="auto"/>
              <w:left w:val="single" w:sz="4" w:space="0" w:color="auto"/>
              <w:bottom w:val="single" w:sz="4" w:space="0" w:color="auto"/>
              <w:right w:val="single" w:sz="4" w:space="0" w:color="auto"/>
            </w:tcBorders>
            <w:shd w:val="clear" w:color="auto" w:fill="A5A5A5"/>
          </w:tcPr>
          <w:p w:rsidR="000D4EAD" w:rsidRDefault="000D4EAD">
            <w:pPr>
              <w:keepNext/>
              <w:keepLines/>
              <w:spacing w:before="120" w:after="120"/>
              <w:rPr>
                <w:rFonts w:ascii="Arial" w:hAnsi="Arial"/>
                <w:sz w:val="18"/>
                <w:lang w:val="en-GB" w:eastAsia="en-US"/>
              </w:rPr>
            </w:pPr>
          </w:p>
        </w:tc>
        <w:tc>
          <w:tcPr>
            <w:tcW w:w="2430" w:type="dxa"/>
            <w:tcBorders>
              <w:top w:val="single" w:sz="4" w:space="0" w:color="auto"/>
              <w:left w:val="single" w:sz="4" w:space="0" w:color="auto"/>
              <w:bottom w:val="single" w:sz="4" w:space="0" w:color="auto"/>
              <w:right w:val="single" w:sz="4" w:space="0" w:color="auto"/>
            </w:tcBorders>
            <w:shd w:val="clear" w:color="auto" w:fill="A5A5A5"/>
          </w:tcPr>
          <w:p w:rsidR="000D4EAD" w:rsidRDefault="000D4EAD">
            <w:pPr>
              <w:keepNext/>
              <w:keepLines/>
              <w:spacing w:before="120" w:after="120"/>
              <w:rPr>
                <w:rFonts w:ascii="Arial" w:hAnsi="Arial"/>
                <w:sz w:val="18"/>
                <w:lang w:val="en-GB" w:eastAsia="en-US"/>
              </w:rPr>
            </w:pPr>
          </w:p>
        </w:tc>
        <w:tc>
          <w:tcPr>
            <w:tcW w:w="870" w:type="dxa"/>
            <w:tcBorders>
              <w:top w:val="single" w:sz="4" w:space="0" w:color="auto"/>
              <w:left w:val="single" w:sz="4" w:space="0" w:color="auto"/>
              <w:bottom w:val="single" w:sz="4" w:space="0" w:color="auto"/>
              <w:right w:val="single" w:sz="4" w:space="0" w:color="auto"/>
            </w:tcBorders>
            <w:shd w:val="clear" w:color="auto" w:fill="A5A5A5"/>
          </w:tcPr>
          <w:p w:rsidR="000D4EAD" w:rsidRDefault="000D4EAD">
            <w:pPr>
              <w:keepNext/>
              <w:keepLines/>
              <w:spacing w:before="120" w:after="120"/>
              <w:rPr>
                <w:rFonts w:ascii="Arial" w:hAnsi="Arial"/>
                <w:sz w:val="18"/>
                <w:lang w:val="en-GB" w:eastAsia="en-US"/>
              </w:rPr>
            </w:pPr>
          </w:p>
        </w:tc>
        <w:tc>
          <w:tcPr>
            <w:tcW w:w="706" w:type="dxa"/>
            <w:tcBorders>
              <w:top w:val="single" w:sz="4" w:space="0" w:color="auto"/>
              <w:left w:val="single" w:sz="4" w:space="0" w:color="auto"/>
              <w:bottom w:val="single" w:sz="4" w:space="0" w:color="auto"/>
              <w:right w:val="single" w:sz="4" w:space="0" w:color="auto"/>
            </w:tcBorders>
            <w:shd w:val="clear" w:color="auto" w:fill="A5A5A5"/>
          </w:tcPr>
          <w:p w:rsidR="000D4EAD" w:rsidRDefault="000D4EAD">
            <w:pPr>
              <w:keepNext/>
              <w:keepLines/>
              <w:spacing w:before="120" w:after="120"/>
              <w:rPr>
                <w:rFonts w:ascii="Arial" w:hAnsi="Arial"/>
                <w:i/>
                <w:sz w:val="18"/>
                <w:lang w:val="en-GB" w:eastAsia="en-US"/>
              </w:rPr>
            </w:pPr>
          </w:p>
        </w:tc>
        <w:tc>
          <w:tcPr>
            <w:tcW w:w="727" w:type="dxa"/>
            <w:tcBorders>
              <w:top w:val="single" w:sz="4" w:space="0" w:color="auto"/>
              <w:left w:val="single" w:sz="4" w:space="0" w:color="auto"/>
              <w:bottom w:val="single" w:sz="4" w:space="0" w:color="auto"/>
              <w:right w:val="single" w:sz="4" w:space="0" w:color="auto"/>
            </w:tcBorders>
            <w:shd w:val="clear" w:color="auto" w:fill="A5A5A5"/>
          </w:tcPr>
          <w:p w:rsidR="000D4EAD" w:rsidRDefault="000D4EAD">
            <w:pPr>
              <w:keepNext/>
              <w:keepLines/>
              <w:spacing w:before="120" w:after="120"/>
              <w:rPr>
                <w:rFonts w:ascii="Arial" w:hAnsi="Arial"/>
                <w:i/>
                <w:sz w:val="18"/>
                <w:lang w:val="en-GB" w:eastAsia="en-US"/>
              </w:rPr>
            </w:pPr>
          </w:p>
        </w:tc>
        <w:tc>
          <w:tcPr>
            <w:tcW w:w="833" w:type="dxa"/>
            <w:tcBorders>
              <w:top w:val="single" w:sz="4" w:space="0" w:color="auto"/>
              <w:left w:val="single" w:sz="4" w:space="0" w:color="auto"/>
              <w:bottom w:val="single" w:sz="4" w:space="0" w:color="auto"/>
              <w:right w:val="single" w:sz="4" w:space="0" w:color="auto"/>
            </w:tcBorders>
            <w:shd w:val="clear" w:color="auto" w:fill="A5A5A5"/>
          </w:tcPr>
          <w:p w:rsidR="000D4EAD" w:rsidRDefault="000D4EAD">
            <w:pPr>
              <w:keepNext/>
              <w:keepLines/>
              <w:spacing w:before="120" w:after="120"/>
              <w:rPr>
                <w:rFonts w:ascii="Arial" w:hAnsi="Arial"/>
                <w:sz w:val="18"/>
                <w:lang w:val="en-GB" w:eastAsia="ja-JP"/>
              </w:rPr>
            </w:pPr>
          </w:p>
        </w:tc>
        <w:tc>
          <w:tcPr>
            <w:tcW w:w="1164" w:type="dxa"/>
            <w:tcBorders>
              <w:top w:val="single" w:sz="4" w:space="0" w:color="auto"/>
              <w:left w:val="single" w:sz="4" w:space="0" w:color="auto"/>
              <w:bottom w:val="single" w:sz="4" w:space="0" w:color="auto"/>
              <w:right w:val="single" w:sz="4" w:space="0" w:color="auto"/>
            </w:tcBorders>
            <w:shd w:val="clear" w:color="auto" w:fill="A5A5A5"/>
          </w:tcPr>
          <w:p w:rsidR="000D4EAD" w:rsidRDefault="000D4EAD">
            <w:pPr>
              <w:keepNext/>
              <w:keepLines/>
              <w:spacing w:before="120" w:after="120"/>
              <w:rPr>
                <w:rFonts w:ascii="Arial" w:hAnsi="Arial"/>
                <w:sz w:val="18"/>
                <w:lang w:val="en-GB" w:eastAsia="ja-JP"/>
              </w:rPr>
            </w:pPr>
          </w:p>
        </w:tc>
        <w:tc>
          <w:tcPr>
            <w:tcW w:w="636" w:type="dxa"/>
            <w:tcBorders>
              <w:top w:val="single" w:sz="4" w:space="0" w:color="auto"/>
              <w:left w:val="single" w:sz="4" w:space="0" w:color="auto"/>
              <w:bottom w:val="single" w:sz="4" w:space="0" w:color="auto"/>
              <w:right w:val="single" w:sz="4" w:space="0" w:color="auto"/>
            </w:tcBorders>
            <w:shd w:val="clear" w:color="auto" w:fill="A5A5A5"/>
          </w:tcPr>
          <w:p w:rsidR="000D4EAD" w:rsidRDefault="000D4EAD">
            <w:pPr>
              <w:keepNext/>
              <w:keepLines/>
              <w:spacing w:before="120" w:after="120"/>
              <w:rPr>
                <w:rFonts w:ascii="Arial" w:hAnsi="Arial"/>
                <w:sz w:val="18"/>
                <w:lang w:val="en-GB" w:eastAsia="ja-JP"/>
              </w:rPr>
            </w:pPr>
          </w:p>
        </w:tc>
        <w:tc>
          <w:tcPr>
            <w:tcW w:w="600" w:type="dxa"/>
            <w:tcBorders>
              <w:top w:val="single" w:sz="4" w:space="0" w:color="auto"/>
              <w:left w:val="single" w:sz="4" w:space="0" w:color="auto"/>
              <w:bottom w:val="single" w:sz="4" w:space="0" w:color="auto"/>
              <w:right w:val="single" w:sz="4" w:space="0" w:color="auto"/>
            </w:tcBorders>
            <w:shd w:val="clear" w:color="auto" w:fill="A5A5A5"/>
          </w:tcPr>
          <w:p w:rsidR="000D4EAD" w:rsidRDefault="000D4EAD">
            <w:pPr>
              <w:keepNext/>
              <w:keepLines/>
              <w:spacing w:before="120" w:after="120"/>
              <w:rPr>
                <w:rFonts w:ascii="Arial" w:hAnsi="Arial"/>
                <w:sz w:val="18"/>
                <w:lang w:val="en-GB" w:eastAsia="ja-JP"/>
              </w:rPr>
            </w:pPr>
          </w:p>
        </w:tc>
        <w:tc>
          <w:tcPr>
            <w:tcW w:w="717" w:type="dxa"/>
            <w:tcBorders>
              <w:top w:val="single" w:sz="4" w:space="0" w:color="auto"/>
              <w:left w:val="single" w:sz="4" w:space="0" w:color="auto"/>
              <w:bottom w:val="single" w:sz="4" w:space="0" w:color="auto"/>
              <w:right w:val="single" w:sz="4" w:space="0" w:color="auto"/>
            </w:tcBorders>
            <w:shd w:val="clear" w:color="auto" w:fill="A5A5A5"/>
          </w:tcPr>
          <w:p w:rsidR="000D4EAD" w:rsidRDefault="000D4EAD">
            <w:pPr>
              <w:keepNext/>
              <w:keepLines/>
              <w:spacing w:before="120" w:after="120"/>
              <w:rPr>
                <w:rFonts w:ascii="Arial" w:hAnsi="Arial"/>
                <w:sz w:val="18"/>
                <w:lang w:val="en-GB" w:eastAsia="en-US"/>
              </w:rPr>
            </w:pPr>
          </w:p>
        </w:tc>
        <w:tc>
          <w:tcPr>
            <w:tcW w:w="2167" w:type="dxa"/>
            <w:tcBorders>
              <w:top w:val="single" w:sz="4" w:space="0" w:color="auto"/>
              <w:left w:val="single" w:sz="4" w:space="0" w:color="auto"/>
              <w:bottom w:val="single" w:sz="4" w:space="0" w:color="auto"/>
              <w:right w:val="single" w:sz="4" w:space="0" w:color="auto"/>
            </w:tcBorders>
            <w:shd w:val="clear" w:color="auto" w:fill="A5A5A5"/>
          </w:tcPr>
          <w:p w:rsidR="000D4EAD" w:rsidRDefault="000D4EAD">
            <w:pPr>
              <w:keepNext/>
              <w:keepLines/>
              <w:spacing w:before="120" w:after="120"/>
              <w:rPr>
                <w:rFonts w:ascii="Arial" w:hAnsi="Arial"/>
                <w:sz w:val="18"/>
                <w:lang w:val="en-GB" w:eastAsia="en-US"/>
              </w:rPr>
            </w:pPr>
          </w:p>
        </w:tc>
        <w:tc>
          <w:tcPr>
            <w:tcW w:w="1027" w:type="dxa"/>
            <w:tcBorders>
              <w:top w:val="single" w:sz="4" w:space="0" w:color="auto"/>
              <w:left w:val="single" w:sz="4" w:space="0" w:color="auto"/>
              <w:bottom w:val="single" w:sz="4" w:space="0" w:color="auto"/>
              <w:right w:val="single" w:sz="4" w:space="0" w:color="auto"/>
            </w:tcBorders>
            <w:shd w:val="clear" w:color="auto" w:fill="A5A5A5"/>
          </w:tcPr>
          <w:p w:rsidR="000D4EAD" w:rsidRDefault="000D4EAD">
            <w:pPr>
              <w:keepNext/>
              <w:keepLines/>
              <w:spacing w:before="120" w:after="120"/>
              <w:rPr>
                <w:rFonts w:ascii="Arial" w:hAnsi="Arial"/>
                <w:sz w:val="18"/>
                <w:lang w:val="en-GB" w:eastAsia="ja-JP"/>
              </w:rPr>
            </w:pPr>
          </w:p>
        </w:tc>
      </w:tr>
    </w:tbl>
    <w:p w:rsidR="000D4EAD" w:rsidRDefault="000D4EAD">
      <w:pPr>
        <w:spacing w:before="120" w:after="120"/>
      </w:pPr>
    </w:p>
    <w:p w:rsidR="000D4EAD" w:rsidRDefault="000D4EAD">
      <w:pPr>
        <w:spacing w:beforeLines="0" w:afterLines="0"/>
        <w:jc w:val="left"/>
      </w:pPr>
    </w:p>
    <w:sectPr w:rsidR="000D4EAD" w:rsidSect="000D4EAD">
      <w:pgSz w:w="15840" w:h="12240" w:orient="landscape"/>
      <w:pgMar w:top="1380" w:right="1440" w:bottom="120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1303" w:rsidRDefault="00141303" w:rsidP="00015AD7">
      <w:pPr>
        <w:spacing w:before="120" w:after="120"/>
      </w:pPr>
      <w:r>
        <w:separator/>
      </w:r>
    </w:p>
  </w:endnote>
  <w:endnote w:type="continuationSeparator" w:id="0">
    <w:p w:rsidR="00141303" w:rsidRDefault="00141303" w:rsidP="00015AD7">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宋体"/>
    <w:charset w:val="86"/>
    <w:family w:val="auto"/>
    <w:pitch w:val="default"/>
    <w:sig w:usb0="00000000" w:usb1="00000000"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EAD" w:rsidRDefault="000D4EAD">
    <w:pPr>
      <w:pStyle w:val="a5"/>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EAD" w:rsidRDefault="00401CE0">
    <w:pPr>
      <w:pStyle w:val="a5"/>
      <w:spacing w:before="120" w:after="120"/>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filled="f" stroked="f" strokeweight=".5pt">
          <v:textbox style="mso-fit-shape-to-text:t" inset="0,0,0,0">
            <w:txbxContent>
              <w:p w:rsidR="000D4EAD" w:rsidRDefault="00401CE0">
                <w:pPr>
                  <w:pStyle w:val="a5"/>
                  <w:spacing w:before="120" w:after="120"/>
                </w:pPr>
                <w:r>
                  <w:fldChar w:fldCharType="begin"/>
                </w:r>
                <w:r w:rsidR="002D275B">
                  <w:instrText xml:space="preserve"> PAGE  \* MERGEFORMAT </w:instrText>
                </w:r>
                <w:r>
                  <w:fldChar w:fldCharType="separate"/>
                </w:r>
                <w:r w:rsidR="00F60A1B">
                  <w:rPr>
                    <w:noProof/>
                  </w:rPr>
                  <w:t>1</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EAD" w:rsidRDefault="000D4EAD">
    <w:pPr>
      <w:pStyle w:val="a5"/>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1303" w:rsidRDefault="00141303" w:rsidP="00015AD7">
      <w:pPr>
        <w:spacing w:before="120" w:after="120"/>
      </w:pPr>
      <w:r>
        <w:separator/>
      </w:r>
    </w:p>
  </w:footnote>
  <w:footnote w:type="continuationSeparator" w:id="0">
    <w:p w:rsidR="00141303" w:rsidRDefault="00141303" w:rsidP="00015AD7">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EAD" w:rsidRDefault="000D4EAD">
    <w:pPr>
      <w:pStyle w:val="a6"/>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EAD" w:rsidRDefault="000D4EAD">
    <w:pPr>
      <w:pStyle w:val="a6"/>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EAD" w:rsidRDefault="000D4EAD">
    <w:pPr>
      <w:pStyle w:val="a6"/>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E519FC85"/>
    <w:multiLevelType w:val="multilevel"/>
    <w:tmpl w:val="E519FC85"/>
    <w:lvl w:ilvl="0">
      <w:start w:val="1"/>
      <w:numFmt w:val="decimal"/>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3">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5">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宋体" w:hAnsi="Times New Roman" w:cs="Times New Roman" w:hint="default"/>
        <w:i/>
        <w:iCs/>
      </w:rPr>
    </w:lvl>
  </w:abstractNum>
  <w:abstractNum w:abstractNumId="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4"/>
  </w:num>
  <w:num w:numId="5">
    <w:abstractNumId w:val="1"/>
  </w:num>
  <w:num w:numId="6">
    <w:abstractNumId w:val="6"/>
  </w:num>
  <w:num w:numId="7">
    <w:abstractNumId w:val="0"/>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6146"/>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5AD7"/>
    <w:rsid w:val="000D005D"/>
    <w:rsid w:val="000D4771"/>
    <w:rsid w:val="000D4EAD"/>
    <w:rsid w:val="000E4E42"/>
    <w:rsid w:val="000F2402"/>
    <w:rsid w:val="00141303"/>
    <w:rsid w:val="00172A27"/>
    <w:rsid w:val="002D275B"/>
    <w:rsid w:val="002F7B16"/>
    <w:rsid w:val="00397A26"/>
    <w:rsid w:val="00401CE0"/>
    <w:rsid w:val="004A6783"/>
    <w:rsid w:val="004F728B"/>
    <w:rsid w:val="0054350B"/>
    <w:rsid w:val="005B065E"/>
    <w:rsid w:val="006204C7"/>
    <w:rsid w:val="00730F03"/>
    <w:rsid w:val="008423C8"/>
    <w:rsid w:val="008A2D32"/>
    <w:rsid w:val="008C6B03"/>
    <w:rsid w:val="0096044C"/>
    <w:rsid w:val="00A41E98"/>
    <w:rsid w:val="00A83C09"/>
    <w:rsid w:val="00B210EB"/>
    <w:rsid w:val="00CE6DBE"/>
    <w:rsid w:val="00DC178E"/>
    <w:rsid w:val="00F60A1B"/>
    <w:rsid w:val="00FC55C1"/>
    <w:rsid w:val="00FD2DE4"/>
    <w:rsid w:val="01471A34"/>
    <w:rsid w:val="015C1845"/>
    <w:rsid w:val="01764F01"/>
    <w:rsid w:val="01835655"/>
    <w:rsid w:val="024D6B6A"/>
    <w:rsid w:val="028E3A14"/>
    <w:rsid w:val="029B04E7"/>
    <w:rsid w:val="03073BDC"/>
    <w:rsid w:val="033F44DC"/>
    <w:rsid w:val="0555228E"/>
    <w:rsid w:val="056243D7"/>
    <w:rsid w:val="05810C22"/>
    <w:rsid w:val="059D1E39"/>
    <w:rsid w:val="05E078B3"/>
    <w:rsid w:val="05F0421F"/>
    <w:rsid w:val="068F1882"/>
    <w:rsid w:val="06D735E9"/>
    <w:rsid w:val="077D0583"/>
    <w:rsid w:val="079724D0"/>
    <w:rsid w:val="082A352F"/>
    <w:rsid w:val="08C349D1"/>
    <w:rsid w:val="09BC100A"/>
    <w:rsid w:val="09F67CD5"/>
    <w:rsid w:val="0A1B6C94"/>
    <w:rsid w:val="0B9E71DF"/>
    <w:rsid w:val="0C9D30C2"/>
    <w:rsid w:val="0E172BD0"/>
    <w:rsid w:val="0E3A6406"/>
    <w:rsid w:val="10350DB9"/>
    <w:rsid w:val="10A50104"/>
    <w:rsid w:val="119D7849"/>
    <w:rsid w:val="1242135C"/>
    <w:rsid w:val="13A1683F"/>
    <w:rsid w:val="13FC6EDB"/>
    <w:rsid w:val="14DA3DA1"/>
    <w:rsid w:val="17155857"/>
    <w:rsid w:val="17950508"/>
    <w:rsid w:val="19010C43"/>
    <w:rsid w:val="19084C73"/>
    <w:rsid w:val="19631281"/>
    <w:rsid w:val="1A054259"/>
    <w:rsid w:val="1B7F6005"/>
    <w:rsid w:val="1C132CB9"/>
    <w:rsid w:val="1CCC26CA"/>
    <w:rsid w:val="1D9712F4"/>
    <w:rsid w:val="1E5B1496"/>
    <w:rsid w:val="1E9D6342"/>
    <w:rsid w:val="1F5F4145"/>
    <w:rsid w:val="1FFF1D98"/>
    <w:rsid w:val="204E6676"/>
    <w:rsid w:val="2195668B"/>
    <w:rsid w:val="21BE5AD4"/>
    <w:rsid w:val="2366744D"/>
    <w:rsid w:val="23F51F7C"/>
    <w:rsid w:val="245C52F8"/>
    <w:rsid w:val="2463385E"/>
    <w:rsid w:val="25134332"/>
    <w:rsid w:val="257E508F"/>
    <w:rsid w:val="26766DA2"/>
    <w:rsid w:val="27AB7429"/>
    <w:rsid w:val="281E2868"/>
    <w:rsid w:val="285C053E"/>
    <w:rsid w:val="29FA7F26"/>
    <w:rsid w:val="2B774832"/>
    <w:rsid w:val="2BCE551B"/>
    <w:rsid w:val="2CB47BAD"/>
    <w:rsid w:val="2D6E3DC2"/>
    <w:rsid w:val="2F1251F2"/>
    <w:rsid w:val="303979EB"/>
    <w:rsid w:val="30962F3E"/>
    <w:rsid w:val="30D17E68"/>
    <w:rsid w:val="30FF2795"/>
    <w:rsid w:val="323B211E"/>
    <w:rsid w:val="329A6ACE"/>
    <w:rsid w:val="32BD62A1"/>
    <w:rsid w:val="34CD56EA"/>
    <w:rsid w:val="360B1D73"/>
    <w:rsid w:val="361F3323"/>
    <w:rsid w:val="36E93760"/>
    <w:rsid w:val="3784394E"/>
    <w:rsid w:val="37FD2D5C"/>
    <w:rsid w:val="38AE3BB0"/>
    <w:rsid w:val="3A9B1755"/>
    <w:rsid w:val="3ACB5746"/>
    <w:rsid w:val="3B40405F"/>
    <w:rsid w:val="3BB20883"/>
    <w:rsid w:val="3E441C7D"/>
    <w:rsid w:val="3F1E37DF"/>
    <w:rsid w:val="3FC956FF"/>
    <w:rsid w:val="40A36A71"/>
    <w:rsid w:val="41D3631F"/>
    <w:rsid w:val="41F466FD"/>
    <w:rsid w:val="42A67A24"/>
    <w:rsid w:val="42B162B7"/>
    <w:rsid w:val="42D846B9"/>
    <w:rsid w:val="440D5045"/>
    <w:rsid w:val="45BE6191"/>
    <w:rsid w:val="460C5979"/>
    <w:rsid w:val="47697C44"/>
    <w:rsid w:val="47C01792"/>
    <w:rsid w:val="4808150F"/>
    <w:rsid w:val="49E9233D"/>
    <w:rsid w:val="4AAD1944"/>
    <w:rsid w:val="4AC31003"/>
    <w:rsid w:val="4AE93159"/>
    <w:rsid w:val="4B0F72AD"/>
    <w:rsid w:val="4BD0339A"/>
    <w:rsid w:val="4D462159"/>
    <w:rsid w:val="4D5C5FAC"/>
    <w:rsid w:val="4DA43285"/>
    <w:rsid w:val="4DC605B6"/>
    <w:rsid w:val="4DEC0985"/>
    <w:rsid w:val="4E27683A"/>
    <w:rsid w:val="4E7F1A55"/>
    <w:rsid w:val="4F2765B1"/>
    <w:rsid w:val="4F285975"/>
    <w:rsid w:val="51867298"/>
    <w:rsid w:val="52195EDF"/>
    <w:rsid w:val="52313387"/>
    <w:rsid w:val="52576EA7"/>
    <w:rsid w:val="52E04D27"/>
    <w:rsid w:val="539A390F"/>
    <w:rsid w:val="53DB3477"/>
    <w:rsid w:val="54747B21"/>
    <w:rsid w:val="54AF6B42"/>
    <w:rsid w:val="55DD6F2A"/>
    <w:rsid w:val="55EC100F"/>
    <w:rsid w:val="56E23970"/>
    <w:rsid w:val="578F220A"/>
    <w:rsid w:val="57FC07D9"/>
    <w:rsid w:val="58500F22"/>
    <w:rsid w:val="591C0009"/>
    <w:rsid w:val="59A64D2D"/>
    <w:rsid w:val="5ACF0F3A"/>
    <w:rsid w:val="5C0F406C"/>
    <w:rsid w:val="5C6B1600"/>
    <w:rsid w:val="5C921AD0"/>
    <w:rsid w:val="5DFD51DB"/>
    <w:rsid w:val="5E0D36E5"/>
    <w:rsid w:val="5FAD336E"/>
    <w:rsid w:val="600870F4"/>
    <w:rsid w:val="607C3753"/>
    <w:rsid w:val="60C30855"/>
    <w:rsid w:val="6130340B"/>
    <w:rsid w:val="61392FAD"/>
    <w:rsid w:val="61421EFD"/>
    <w:rsid w:val="615C5041"/>
    <w:rsid w:val="62AE6C0F"/>
    <w:rsid w:val="645D477E"/>
    <w:rsid w:val="664805B8"/>
    <w:rsid w:val="668F03D0"/>
    <w:rsid w:val="679F6089"/>
    <w:rsid w:val="67BF67D1"/>
    <w:rsid w:val="685A593D"/>
    <w:rsid w:val="690F418B"/>
    <w:rsid w:val="6A7A2736"/>
    <w:rsid w:val="6A7B4B9C"/>
    <w:rsid w:val="6ACE1DA9"/>
    <w:rsid w:val="6AD27C0F"/>
    <w:rsid w:val="6ADC0BF4"/>
    <w:rsid w:val="6C7725BC"/>
    <w:rsid w:val="6C89456C"/>
    <w:rsid w:val="6D89317F"/>
    <w:rsid w:val="6E4E4C63"/>
    <w:rsid w:val="6FA629D4"/>
    <w:rsid w:val="6FC44560"/>
    <w:rsid w:val="705B0888"/>
    <w:rsid w:val="70BB2EF0"/>
    <w:rsid w:val="71847F78"/>
    <w:rsid w:val="738B7AB0"/>
    <w:rsid w:val="73BD6730"/>
    <w:rsid w:val="73D425F7"/>
    <w:rsid w:val="74084DDD"/>
    <w:rsid w:val="750A2023"/>
    <w:rsid w:val="7676736A"/>
    <w:rsid w:val="76933951"/>
    <w:rsid w:val="771D661B"/>
    <w:rsid w:val="78782A0D"/>
    <w:rsid w:val="78A1171F"/>
    <w:rsid w:val="79687524"/>
    <w:rsid w:val="79A2171F"/>
    <w:rsid w:val="79A252FF"/>
    <w:rsid w:val="79D33056"/>
    <w:rsid w:val="7C26369C"/>
    <w:rsid w:val="7C9E5A24"/>
    <w:rsid w:val="7D62117D"/>
    <w:rsid w:val="7DD34071"/>
    <w:rsid w:val="7E3E1EF2"/>
    <w:rsid w:val="7E951513"/>
    <w:rsid w:val="7EF74FC9"/>
    <w:rsid w:val="7F4424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qFormat="1"/>
    <w:lsdException w:name="toc 1" w:semiHidden="0" w:qFormat="1"/>
    <w:lsdException w:name="toc 2" w:qFormat="1"/>
    <w:lsdException w:name="toc 3" w:semiHidden="0" w:qFormat="1"/>
    <w:lsdException w:name="annotation text" w:qFormat="1"/>
    <w:lsdException w:name="header" w:uiPriority="0" w:unhideWhenUsed="0" w:qFormat="1"/>
    <w:lsdException w:name="footer" w:qFormat="1"/>
    <w:lsdException w:name="table of figures" w:qFormat="1"/>
    <w:lsdException w:name="annotation reference" w:qFormat="1"/>
    <w:lsdException w:name="Default Paragraph Font" w:uiPriority="1"/>
    <w:lsdException w:name="Strong" w:semiHidden="0" w:uiPriority="22" w:unhideWhenUsed="0" w:qFormat="1"/>
    <w:lsdException w:name="Normal (Web)" w:uiPriority="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EAD"/>
    <w:pPr>
      <w:spacing w:beforeLines="50" w:afterLines="50"/>
      <w:jc w:val="both"/>
    </w:pPr>
    <w:rPr>
      <w:kern w:val="2"/>
      <w:sz w:val="21"/>
    </w:rPr>
  </w:style>
  <w:style w:type="paragraph" w:styleId="1">
    <w:name w:val="heading 1"/>
    <w:basedOn w:val="a"/>
    <w:next w:val="a"/>
    <w:qFormat/>
    <w:rsid w:val="000D4EAD"/>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0D4EAD"/>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0D4EAD"/>
    <w:pPr>
      <w:numPr>
        <w:ilvl w:val="2"/>
      </w:numPr>
      <w:spacing w:before="120"/>
      <w:ind w:left="0"/>
      <w:outlineLvl w:val="2"/>
    </w:pPr>
    <w:rPr>
      <w:sz w:val="24"/>
    </w:rPr>
  </w:style>
  <w:style w:type="paragraph" w:styleId="4">
    <w:name w:val="heading 4"/>
    <w:basedOn w:val="3"/>
    <w:next w:val="a"/>
    <w:uiPriority w:val="99"/>
    <w:semiHidden/>
    <w:unhideWhenUsed/>
    <w:qFormat/>
    <w:rsid w:val="000D4EAD"/>
    <w:pPr>
      <w:numPr>
        <w:ilvl w:val="3"/>
        <w:numId w:val="2"/>
      </w:numPr>
      <w:spacing w:beforeLines="0" w:afterLines="0" w:line="372" w:lineRule="auto"/>
      <w:outlineLvl w:val="3"/>
    </w:pPr>
    <w:rPr>
      <w:rFonts w:eastAsia="黑体"/>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0D4EAD"/>
    <w:pPr>
      <w:jc w:val="left"/>
    </w:pPr>
  </w:style>
  <w:style w:type="paragraph" w:styleId="30">
    <w:name w:val="toc 3"/>
    <w:basedOn w:val="a"/>
    <w:next w:val="a"/>
    <w:uiPriority w:val="99"/>
    <w:unhideWhenUsed/>
    <w:qFormat/>
    <w:rsid w:val="000D4EAD"/>
    <w:pPr>
      <w:adjustRightInd w:val="0"/>
      <w:ind w:leftChars="400" w:left="1282" w:hangingChars="200" w:hanging="442"/>
    </w:pPr>
    <w:rPr>
      <w:b/>
      <w:i/>
      <w:sz w:val="20"/>
    </w:rPr>
  </w:style>
  <w:style w:type="paragraph" w:styleId="a4">
    <w:name w:val="Balloon Text"/>
    <w:basedOn w:val="a"/>
    <w:link w:val="Char0"/>
    <w:uiPriority w:val="99"/>
    <w:semiHidden/>
    <w:unhideWhenUsed/>
    <w:qFormat/>
    <w:rsid w:val="000D4EAD"/>
    <w:rPr>
      <w:sz w:val="18"/>
      <w:szCs w:val="18"/>
    </w:rPr>
  </w:style>
  <w:style w:type="paragraph" w:styleId="a5">
    <w:name w:val="footer"/>
    <w:basedOn w:val="a"/>
    <w:uiPriority w:val="99"/>
    <w:semiHidden/>
    <w:unhideWhenUsed/>
    <w:qFormat/>
    <w:rsid w:val="000D4EAD"/>
    <w:pPr>
      <w:tabs>
        <w:tab w:val="center" w:pos="4153"/>
        <w:tab w:val="right" w:pos="8306"/>
      </w:tabs>
      <w:snapToGrid w:val="0"/>
      <w:jc w:val="left"/>
    </w:pPr>
    <w:rPr>
      <w:sz w:val="18"/>
      <w:szCs w:val="18"/>
    </w:rPr>
  </w:style>
  <w:style w:type="paragraph" w:styleId="a6">
    <w:name w:val="header"/>
    <w:basedOn w:val="a"/>
    <w:link w:val="Char1"/>
    <w:semiHidden/>
    <w:qFormat/>
    <w:rsid w:val="000D4EA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unhideWhenUsed/>
    <w:qFormat/>
    <w:rsid w:val="000D4EAD"/>
    <w:rPr>
      <w:rFonts w:eastAsiaTheme="minorEastAsia"/>
      <w:b/>
      <w:i/>
      <w:sz w:val="20"/>
    </w:rPr>
  </w:style>
  <w:style w:type="paragraph" w:styleId="a7">
    <w:name w:val="table of figures"/>
    <w:basedOn w:val="a"/>
    <w:next w:val="a"/>
    <w:uiPriority w:val="99"/>
    <w:semiHidden/>
    <w:unhideWhenUsed/>
    <w:qFormat/>
    <w:rsid w:val="000D4EAD"/>
    <w:pPr>
      <w:ind w:leftChars="200" w:left="200" w:hangingChars="200" w:hanging="200"/>
    </w:pPr>
  </w:style>
  <w:style w:type="paragraph" w:styleId="20">
    <w:name w:val="toc 2"/>
    <w:basedOn w:val="a"/>
    <w:next w:val="a"/>
    <w:uiPriority w:val="99"/>
    <w:semiHidden/>
    <w:unhideWhenUsed/>
    <w:qFormat/>
    <w:rsid w:val="000D4EAD"/>
    <w:pPr>
      <w:ind w:leftChars="200" w:left="862" w:hangingChars="200" w:hanging="442"/>
    </w:pPr>
    <w:rPr>
      <w:b/>
      <w:i/>
      <w:sz w:val="20"/>
    </w:rPr>
  </w:style>
  <w:style w:type="paragraph" w:styleId="a8">
    <w:name w:val="Normal (Web)"/>
    <w:basedOn w:val="a"/>
    <w:semiHidden/>
    <w:unhideWhenUsed/>
    <w:qFormat/>
    <w:rsid w:val="000D4EAD"/>
    <w:pPr>
      <w:spacing w:beforeAutospacing="1" w:afterAutospacing="1"/>
      <w:jc w:val="left"/>
    </w:pPr>
    <w:rPr>
      <w:color w:val="EEECE1" w:themeColor="background2"/>
      <w:kern w:val="0"/>
      <w:sz w:val="24"/>
    </w:rPr>
  </w:style>
  <w:style w:type="paragraph" w:styleId="a9">
    <w:name w:val="annotation subject"/>
    <w:basedOn w:val="a3"/>
    <w:next w:val="a3"/>
    <w:link w:val="Char2"/>
    <w:uiPriority w:val="99"/>
    <w:semiHidden/>
    <w:unhideWhenUsed/>
    <w:qFormat/>
    <w:rsid w:val="000D4EAD"/>
    <w:rPr>
      <w:b/>
      <w:bCs/>
    </w:rPr>
  </w:style>
  <w:style w:type="table" w:styleId="aa">
    <w:name w:val="Table Grid"/>
    <w:basedOn w:val="a1"/>
    <w:uiPriority w:val="59"/>
    <w:qFormat/>
    <w:rsid w:val="000D4EAD"/>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0D4EAD"/>
    <w:rPr>
      <w:b/>
      <w:bCs/>
    </w:rPr>
  </w:style>
  <w:style w:type="character" w:styleId="ac">
    <w:name w:val="annotation reference"/>
    <w:basedOn w:val="a0"/>
    <w:uiPriority w:val="99"/>
    <w:semiHidden/>
    <w:unhideWhenUsed/>
    <w:qFormat/>
    <w:rsid w:val="000D4EAD"/>
    <w:rPr>
      <w:sz w:val="21"/>
      <w:szCs w:val="21"/>
    </w:rPr>
  </w:style>
  <w:style w:type="paragraph" w:customStyle="1" w:styleId="YJ-Proposal">
    <w:name w:val="YJ-Proposal"/>
    <w:basedOn w:val="a"/>
    <w:qFormat/>
    <w:rsid w:val="000D4EAD"/>
    <w:pPr>
      <w:numPr>
        <w:numId w:val="3"/>
      </w:numPr>
    </w:pPr>
    <w:rPr>
      <w:rFonts w:eastAsiaTheme="minorEastAsia"/>
      <w:b/>
      <w:bCs/>
      <w:i/>
      <w:iCs/>
      <w:sz w:val="20"/>
      <w:lang w:val="en-GB" w:eastAsia="en-US"/>
    </w:rPr>
  </w:style>
  <w:style w:type="paragraph" w:customStyle="1" w:styleId="YJ-Observation">
    <w:name w:val="YJ-Observation"/>
    <w:basedOn w:val="YJ-Proposal"/>
    <w:qFormat/>
    <w:rsid w:val="000D4EAD"/>
    <w:pPr>
      <w:numPr>
        <w:numId w:val="4"/>
      </w:numPr>
      <w:tabs>
        <w:tab w:val="left" w:pos="420"/>
      </w:tabs>
    </w:pPr>
  </w:style>
  <w:style w:type="paragraph" w:customStyle="1" w:styleId="sub-proposal">
    <w:name w:val="sub-proposal"/>
    <w:basedOn w:val="YJ-Proposal"/>
    <w:next w:val="a"/>
    <w:qFormat/>
    <w:rsid w:val="000D4EAD"/>
    <w:pPr>
      <w:numPr>
        <w:numId w:val="5"/>
      </w:numPr>
      <w:ind w:leftChars="200" w:left="862" w:hangingChars="200" w:hanging="442"/>
    </w:pPr>
  </w:style>
  <w:style w:type="paragraph" w:customStyle="1" w:styleId="sub-observation">
    <w:name w:val="sub-observation"/>
    <w:basedOn w:val="sub-proposal"/>
    <w:next w:val="a"/>
    <w:qFormat/>
    <w:rsid w:val="000D4EAD"/>
  </w:style>
  <w:style w:type="paragraph" w:customStyle="1" w:styleId="References">
    <w:name w:val="References"/>
    <w:basedOn w:val="a"/>
    <w:qFormat/>
    <w:rsid w:val="000D4EAD"/>
    <w:pPr>
      <w:numPr>
        <w:numId w:val="6"/>
      </w:numPr>
      <w:spacing w:after="60"/>
    </w:pPr>
    <w:rPr>
      <w:szCs w:val="16"/>
    </w:rPr>
  </w:style>
  <w:style w:type="paragraph" w:styleId="ad">
    <w:name w:val="List Paragraph"/>
    <w:basedOn w:val="a"/>
    <w:uiPriority w:val="34"/>
    <w:qFormat/>
    <w:rsid w:val="000D4EAD"/>
    <w:pPr>
      <w:spacing w:beforeLines="0"/>
      <w:ind w:left="720"/>
      <w:contextualSpacing/>
    </w:pPr>
    <w:rPr>
      <w:rFonts w:eastAsia="Times New Roman"/>
      <w:sz w:val="24"/>
      <w:szCs w:val="24"/>
    </w:rPr>
  </w:style>
  <w:style w:type="paragraph" w:customStyle="1" w:styleId="11">
    <w:name w:val="样式1"/>
    <w:basedOn w:val="a"/>
    <w:qFormat/>
    <w:rsid w:val="000D4EAD"/>
  </w:style>
  <w:style w:type="paragraph" w:customStyle="1" w:styleId="3rdlevelproposal">
    <w:name w:val="3rd level proposal"/>
    <w:basedOn w:val="sub-proposal"/>
    <w:next w:val="a"/>
    <w:qFormat/>
    <w:rsid w:val="000D4EAD"/>
    <w:pPr>
      <w:numPr>
        <w:numId w:val="7"/>
      </w:numPr>
      <w:ind w:leftChars="400" w:left="1282" w:hanging="442"/>
      <w:jc w:val="left"/>
    </w:pPr>
  </w:style>
  <w:style w:type="paragraph" w:customStyle="1" w:styleId="21">
    <w:name w:val="样式2"/>
    <w:basedOn w:val="a"/>
    <w:qFormat/>
    <w:rsid w:val="000D4EAD"/>
  </w:style>
  <w:style w:type="paragraph" w:customStyle="1" w:styleId="3rdlevelobservation">
    <w:name w:val="3rd level observation"/>
    <w:basedOn w:val="sub-observation"/>
    <w:qFormat/>
    <w:rsid w:val="000D4EAD"/>
    <w:pPr>
      <w:numPr>
        <w:numId w:val="8"/>
      </w:numPr>
      <w:ind w:leftChars="400" w:left="1282" w:hanging="442"/>
    </w:pPr>
  </w:style>
  <w:style w:type="paragraph" w:customStyle="1" w:styleId="TAH">
    <w:name w:val="TAH"/>
    <w:basedOn w:val="TAC"/>
    <w:qFormat/>
    <w:rsid w:val="000D4EAD"/>
    <w:rPr>
      <w:b/>
    </w:rPr>
  </w:style>
  <w:style w:type="paragraph" w:customStyle="1" w:styleId="TAC">
    <w:name w:val="TAC"/>
    <w:basedOn w:val="a"/>
    <w:qFormat/>
    <w:rsid w:val="000D4EAD"/>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TAN">
    <w:name w:val="TAN"/>
    <w:basedOn w:val="TAL"/>
    <w:qFormat/>
    <w:rsid w:val="000D4EAD"/>
    <w:pPr>
      <w:ind w:left="851" w:hanging="851"/>
    </w:pPr>
  </w:style>
  <w:style w:type="paragraph" w:customStyle="1" w:styleId="TAL">
    <w:name w:val="TAL"/>
    <w:basedOn w:val="a"/>
    <w:qFormat/>
    <w:rsid w:val="000D4EAD"/>
    <w:pPr>
      <w:keepNext/>
      <w:keepLines/>
    </w:pPr>
    <w:rPr>
      <w:rFonts w:ascii="Arial" w:eastAsiaTheme="minorEastAsia" w:hAnsi="Arial"/>
      <w:sz w:val="18"/>
      <w:lang w:eastAsia="en-US"/>
    </w:rPr>
  </w:style>
  <w:style w:type="paragraph" w:customStyle="1" w:styleId="bullet1">
    <w:name w:val="bullet1"/>
    <w:basedOn w:val="a"/>
    <w:qFormat/>
    <w:rsid w:val="000D4EAD"/>
    <w:pPr>
      <w:numPr>
        <w:numId w:val="9"/>
      </w:numPr>
    </w:pPr>
  </w:style>
  <w:style w:type="paragraph" w:customStyle="1" w:styleId="bullet2">
    <w:name w:val="bullet2"/>
    <w:basedOn w:val="a"/>
    <w:qFormat/>
    <w:rsid w:val="000D4EAD"/>
    <w:pPr>
      <w:numPr>
        <w:ilvl w:val="1"/>
        <w:numId w:val="9"/>
      </w:numPr>
    </w:pPr>
  </w:style>
  <w:style w:type="character" w:customStyle="1" w:styleId="Char1">
    <w:name w:val="页眉 Char"/>
    <w:basedOn w:val="a0"/>
    <w:link w:val="a6"/>
    <w:semiHidden/>
    <w:qFormat/>
    <w:rsid w:val="000D4EAD"/>
    <w:rPr>
      <w:rFonts w:ascii="Times New Roman" w:eastAsia="宋体" w:hAnsi="Times New Roman"/>
      <w:kern w:val="2"/>
      <w:sz w:val="18"/>
      <w:szCs w:val="18"/>
    </w:rPr>
  </w:style>
  <w:style w:type="character" w:customStyle="1" w:styleId="Char0">
    <w:name w:val="批注框文本 Char"/>
    <w:basedOn w:val="a0"/>
    <w:link w:val="a4"/>
    <w:uiPriority w:val="99"/>
    <w:semiHidden/>
    <w:qFormat/>
    <w:rsid w:val="000D4EAD"/>
    <w:rPr>
      <w:rFonts w:ascii="Times New Roman" w:eastAsia="宋体" w:hAnsi="Times New Roman"/>
      <w:kern w:val="2"/>
      <w:sz w:val="18"/>
      <w:szCs w:val="18"/>
    </w:rPr>
  </w:style>
  <w:style w:type="character" w:customStyle="1" w:styleId="Char">
    <w:name w:val="批注文字 Char"/>
    <w:basedOn w:val="a0"/>
    <w:link w:val="a3"/>
    <w:uiPriority w:val="99"/>
    <w:semiHidden/>
    <w:qFormat/>
    <w:rsid w:val="000D4EAD"/>
    <w:rPr>
      <w:rFonts w:ascii="Times New Roman" w:eastAsia="宋体" w:hAnsi="Times New Roman"/>
      <w:kern w:val="2"/>
      <w:sz w:val="21"/>
    </w:rPr>
  </w:style>
  <w:style w:type="character" w:customStyle="1" w:styleId="Char2">
    <w:name w:val="批注主题 Char"/>
    <w:basedOn w:val="Char"/>
    <w:link w:val="a9"/>
    <w:qFormat/>
    <w:rsid w:val="000D4EAD"/>
  </w:style>
  <w:style w:type="paragraph" w:customStyle="1" w:styleId="12">
    <w:name w:val="修订1"/>
    <w:hidden/>
    <w:uiPriority w:val="99"/>
    <w:unhideWhenUsed/>
    <w:qFormat/>
    <w:rsid w:val="000D4EAD"/>
    <w:rPr>
      <w:kern w:val="2"/>
      <w:sz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2567</Words>
  <Characters>14634</Characters>
  <Application>Microsoft Office Word</Application>
  <DocSecurity>0</DocSecurity>
  <Lines>121</Lines>
  <Paragraphs>34</Paragraphs>
  <ScaleCrop>false</ScaleCrop>
  <Company/>
  <LinksUpToDate>false</LinksUpToDate>
  <CharactersWithSpaces>17167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6</cp:revision>
  <dcterms:created xsi:type="dcterms:W3CDTF">2020-04-09T06:51:00Z</dcterms:created>
  <dcterms:modified xsi:type="dcterms:W3CDTF">2020-04-11T01:26:00Z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